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360"/>
      </w:tblGrid>
      <w:tr>
        <w:trPr>
          <w:trHeight w:val="12096" w:hRule="atLeast"/>
        </w:trPr>
        <w:tc>
          <w:tcPr>
            <w:tcW w:type="dxa" w:w="9360"/>
            <w:shd w:val="clear" w:color="auto" w:fill="1C1C1E"/>
            <w:tcMar>
              <w:top w:w="900" w:type="dxa"/>
              <w:start w:w="720" w:type="dxa"/>
              <w:bottom w:w="720" w:type="dxa"/>
              <w:end w:w="720" w:type="dxa"/>
            </w:tcMar>
          </w:tcPr>
          <w:p>
            <w:pPr>
              <w:spacing w:after="0"/>
            </w:pPr>
          </w:p>
          <w:p>
            <w:pPr>
              <w:spacing w:before="0" w:after="120"/>
              <w:jc w:val="left"/>
              <w:pBdr>
                <w:bottom w:val="single" w:sz="18" w:space="4" w:color="B87333"/>
              </w:pBdr>
            </w:pPr>
            <w:r>
              <w:rPr>
                <w:rFonts w:ascii="Tw Cen MT" w:hAnsi="Tw Cen MT" w:cs="Tw Cen MT" w:eastAsia="Tw Cen MT"/>
                <w:b w:val="0"/>
                <w:color w:val="4A90A4"/>
                <w:sz w:val="18"/>
                <w:spacing w:val="50"/>
              </w:rPr>
              <w:t>CLIENT AGREEMENT   ·   WORK MADE FOR HIRE</w:t>
            </w:r>
          </w:p>
          <w:p>
            <w:pPr>
              <w:spacing w:before="720" w:after="0"/>
              <w:jc w:val="left"/>
            </w:pPr>
            <w:r>
              <w:rPr>
                <w:rFonts w:ascii="Tw Cen MT" w:hAnsi="Tw Cen MT" w:cs="Tw Cen MT" w:eastAsia="Tw Cen MT"/>
                <w:b w:val="0"/>
                <w:color w:val="FFFFFF"/>
                <w:sz w:val="60"/>
                <w:spacing w:val="40"/>
              </w:rPr>
              <w:t>LUWAH</w:t>
            </w:r>
          </w:p>
          <w:p>
            <w:pPr>
              <w:spacing w:before="0" w:after="0"/>
              <w:jc w:val="left"/>
            </w:pPr>
            <w:r>
              <w:rPr>
                <w:rFonts w:ascii="Tw Cen MT" w:hAnsi="Tw Cen MT" w:cs="Tw Cen MT" w:eastAsia="Tw Cen MT"/>
                <w:b w:val="0"/>
                <w:color w:val="B87333"/>
                <w:sz w:val="60"/>
                <w:spacing w:val="40"/>
              </w:rPr>
              <w:t>TECHNOLOGIES</w:t>
            </w:r>
          </w:p>
          <w:p>
            <w:pPr>
              <w:spacing w:before="1680" w:after="0"/>
              <w:jc w:val="left"/>
            </w:pPr>
            <w:r>
              <w:rPr>
                <w:rFonts w:ascii="Tw Cen MT" w:hAnsi="Tw Cen MT" w:cs="Tw Cen MT" w:eastAsia="Tw Cen MT"/>
                <w:b w:val="0"/>
                <w:color w:val="FFFFFF"/>
                <w:sz w:val="48"/>
              </w:rPr>
              <w:t>Work Made for Hire Agreement</w:t>
            </w:r>
          </w:p>
          <w:p>
            <w:pPr>
              <w:spacing w:before="0" w:after="80"/>
              <w:jc w:val="left"/>
              <w:pBdr>
                <w:bottom w:val="single" w:sz="4" w:space="4" w:color="555555"/>
              </w:pBdr>
            </w:pPr>
            <w:r>
              <w:rPr>
                <w:rFonts w:ascii="Tw Cen MT" w:hAnsi="Tw Cen MT" w:cs="Tw Cen MT" w:eastAsia="Tw Cen MT"/>
                <w:b w:val="0"/>
                <w:color w:val="B87333"/>
                <w:sz w:val="26"/>
              </w:rPr>
              <w:t>Transfer of ownership in work Luwah Technologies creates for a client</w:t>
            </w:r>
          </w:p>
          <w:p>
            <w:pPr>
              <w:spacing w:before="120" w:after="0"/>
              <w:jc w:val="left"/>
            </w:pPr>
            <w:r>
              <w:rPr>
                <w:rFonts w:ascii="Open Sans" w:hAnsi="Open Sans" w:cs="Open Sans" w:eastAsia="Open Sans"/>
                <w:b w:val="0"/>
                <w:color w:val="CCCCCC"/>
                <w:sz w:val="21"/>
              </w:rPr>
              <w:t>[Client name]   |   [Client website or project]</w:t>
            </w:r>
          </w:p>
          <w:p>
            <w:pPr>
              <w:spacing w:before="1680" w:after="40"/>
              <w:jc w:val="left"/>
            </w:pPr>
            <w:r>
              <w:rPr>
                <w:rFonts w:ascii="Tw Cen MT" w:hAnsi="Tw Cen MT" w:cs="Tw Cen MT" w:eastAsia="Tw Cen MT"/>
                <w:b w:val="0"/>
                <w:color w:val="4A90A4"/>
                <w:sz w:val="17"/>
                <w:spacing w:val="40"/>
              </w:rPr>
              <w:t>BETWEEN</w:t>
            </w:r>
          </w:p>
          <w:p>
            <w:pPr>
              <w:spacing w:before="0" w:after="0"/>
              <w:jc w:val="left"/>
            </w:pPr>
            <w:r>
              <w:rPr>
                <w:rFonts w:ascii="Open Sans" w:hAnsi="Open Sans" w:cs="Open Sans" w:eastAsia="Open Sans"/>
                <w:b w:val="0"/>
                <w:color w:val="CCCCCC"/>
                <w:sz w:val="20"/>
              </w:rPr>
              <w:t>Luwah Technologies LLC ("Provider")</w:t>
            </w:r>
          </w:p>
          <w:p>
            <w:pPr>
              <w:spacing w:before="0" w:after="0"/>
              <w:jc w:val="left"/>
            </w:pPr>
            <w:r>
              <w:rPr>
                <w:rFonts w:ascii="Open Sans" w:hAnsi="Open Sans" w:cs="Open Sans" w:eastAsia="Open Sans"/>
                <w:b w:val="0"/>
                <w:color w:val="CCCCCC"/>
                <w:sz w:val="20"/>
              </w:rPr>
              <w:t>[Client legal name] ("Client")</w:t>
            </w:r>
          </w:p>
          <w:p>
            <w:pPr>
              <w:spacing w:before="240" w:after="40"/>
              <w:jc w:val="left"/>
            </w:pPr>
            <w:r>
              <w:rPr>
                <w:rFonts w:ascii="Tw Cen MT" w:hAnsi="Tw Cen MT" w:cs="Tw Cen MT" w:eastAsia="Tw Cen MT"/>
                <w:b w:val="0"/>
                <w:color w:val="4A90A4"/>
                <w:sz w:val="17"/>
                <w:spacing w:val="40"/>
              </w:rPr>
              <w:t>DOCUMENT</w:t>
            </w:r>
          </w:p>
          <w:p>
            <w:pPr>
              <w:spacing w:before="0" w:after="0"/>
              <w:jc w:val="left"/>
            </w:pPr>
            <w:r>
              <w:rPr>
                <w:rFonts w:ascii="Open Sans" w:hAnsi="Open Sans" w:cs="Open Sans" w:eastAsia="Open Sans"/>
                <w:b w:val="0"/>
                <w:color w:val="CCCCCC"/>
                <w:sz w:val="20"/>
              </w:rPr>
              <w:t>[WFH-YYYY-NN]   |   [Month DD, YYYY]   |   Template v1.0</w:t>
            </w:r>
          </w:p>
          <w:p>
            <w:pPr>
              <w:spacing w:before="800" w:after="0"/>
              <w:jc w:val="center"/>
            </w:pPr>
            <w:r>
              <w:rPr>
                <w:rFonts w:ascii="Open Sans" w:hAnsi="Open Sans" w:cs="Open Sans" w:eastAsia="Open Sans"/>
                <w:b w:val="0"/>
                <w:color w:val="B87333"/>
                <w:sz w:val="20"/>
              </w:rPr>
              <w:t>Where Simplicity Meets Innovation</w:t>
            </w:r>
          </w:p>
        </w:tc>
      </w:tr>
    </w:tbl>
    <w:p>
      <w:pPr>
        <w:pageBreakBefore/>
        <w:spacing w:before="120" w:after="40"/>
      </w:pPr>
      <w:r>
        <w:rPr>
          <w:rFonts w:ascii="Tw Cen MT" w:hAnsi="Tw Cen MT" w:cs="Tw Cen MT" w:eastAsia="Tw Cen MT"/>
          <w:b/>
          <w:color w:val="B87333"/>
          <w:sz w:val="48"/>
        </w:rPr>
        <w:t>Work Made for Hire Agreement</w:t>
      </w:r>
    </w:p>
    <w:p>
      <w:pPr>
        <w:spacing w:after="200"/>
      </w:pPr>
      <w:r>
        <w:rPr>
          <w:rFonts w:ascii="Tw Cen MT" w:hAnsi="Tw Cen MT" w:cs="Tw Cen MT" w:eastAsia="Tw Cen MT"/>
          <w:b w:val="0"/>
          <w:color w:val="4A90A4"/>
          <w:sz w:val="22"/>
        </w:rPr>
        <w:t>Transfer of ownership in work Luwah Technologies creates for a client</w:t>
      </w:r>
    </w:p>
    <w:p>
      <w:pPr>
        <w:keepNext/>
        <w:spacing w:after="60"/>
      </w:pPr>
      <w:r>
        <w:rPr>
          <w:rFonts w:ascii="Open Sans" w:hAnsi="Open Sans" w:cs="Open Sans" w:eastAsia="Open Sans"/>
          <w:b/>
          <w:i w:val="0"/>
          <w:color w:val="4A90A4"/>
          <w:sz w:val="20"/>
        </w:rPr>
        <w:t>Agreement Summary</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Agreement No.</w:t>
            </w:r>
          </w:p>
        </w:tc>
        <w:tc>
          <w:tcPr>
            <w:tcW w:type="dxa" w:w="6480"/>
          </w:tcPr>
          <w:p>
            <w:pPr>
              <w:spacing w:after="40" w:before="40"/>
            </w:pPr>
            <w:r/>
            <w:r>
              <w:rPr>
                <w:rFonts w:ascii="Open Sans" w:hAnsi="Open Sans" w:cs="Open Sans" w:eastAsia="Open Sans"/>
                <w:b/>
                <w:i w:val="0"/>
                <w:color w:val="B87333"/>
                <w:sz w:val="19"/>
              </w:rPr>
              <w:t>[WFH-YYYY-NN]</w:t>
            </w:r>
          </w:p>
        </w:tc>
      </w:tr>
      <w:tr>
        <w:tc>
          <w:tcPr>
            <w:tcW w:type="dxa" w:w="2880"/>
            <w:shd w:val="clear" w:color="auto" w:fill="F3F6F7"/>
          </w:tcPr>
          <w:p>
            <w:pPr>
              <w:spacing w:after="40" w:before="40"/>
            </w:pPr>
            <w:r/>
            <w:r>
              <w:rPr>
                <w:rFonts w:ascii="Open Sans" w:hAnsi="Open Sans" w:cs="Open Sans" w:eastAsia="Open Sans"/>
                <w:b/>
                <w:i w:val="0"/>
                <w:color w:val="262626"/>
                <w:sz w:val="19"/>
              </w:rPr>
              <w:t>Client</w:t>
            </w:r>
          </w:p>
        </w:tc>
        <w:tc>
          <w:tcPr>
            <w:tcW w:type="dxa" w:w="6480"/>
          </w:tcPr>
          <w:p>
            <w:pPr>
              <w:spacing w:after="40" w:before="40"/>
            </w:pPr>
            <w:r/>
            <w:r>
              <w:rPr>
                <w:rFonts w:ascii="Open Sans" w:hAnsi="Open Sans" w:cs="Open Sans" w:eastAsia="Open Sans"/>
                <w:b/>
                <w:i w:val="0"/>
                <w:color w:val="B87333"/>
                <w:sz w:val="19"/>
              </w:rPr>
              <w:t>[Client legal name and entity type]</w:t>
            </w:r>
          </w:p>
        </w:tc>
      </w:tr>
      <w:tr>
        <w:tc>
          <w:tcPr>
            <w:tcW w:type="dxa" w:w="2880"/>
            <w:shd w:val="clear" w:color="auto" w:fill="F3F6F7"/>
          </w:tcPr>
          <w:p>
            <w:pPr>
              <w:spacing w:after="40" w:before="40"/>
            </w:pPr>
            <w:r/>
            <w:r>
              <w:rPr>
                <w:rFonts w:ascii="Open Sans" w:hAnsi="Open Sans" w:cs="Open Sans" w:eastAsia="Open Sans"/>
                <w:b/>
                <w:i w:val="0"/>
                <w:color w:val="262626"/>
                <w:sz w:val="19"/>
              </w:rPr>
              <w:t>Project</w:t>
            </w:r>
          </w:p>
        </w:tc>
        <w:tc>
          <w:tcPr>
            <w:tcW w:type="dxa" w:w="6480"/>
          </w:tcPr>
          <w:p>
            <w:pPr>
              <w:spacing w:after="40" w:before="40"/>
            </w:pPr>
            <w:r/>
            <w:r>
              <w:rPr>
                <w:rFonts w:ascii="Open Sans" w:hAnsi="Open Sans" w:cs="Open Sans" w:eastAsia="Open Sans"/>
                <w:b/>
                <w:i w:val="0"/>
                <w:color w:val="B87333"/>
                <w:sz w:val="19"/>
              </w:rPr>
              <w:t>[Project name]</w:t>
            </w:r>
          </w:p>
        </w:tc>
      </w:tr>
      <w:tr>
        <w:tc>
          <w:tcPr>
            <w:tcW w:type="dxa" w:w="2880"/>
            <w:shd w:val="clear" w:color="auto" w:fill="F3F6F7"/>
          </w:tcPr>
          <w:p>
            <w:pPr>
              <w:spacing w:after="40" w:before="40"/>
            </w:pPr>
            <w:r/>
            <w:r>
              <w:rPr>
                <w:rFonts w:ascii="Open Sans" w:hAnsi="Open Sans" w:cs="Open Sans" w:eastAsia="Open Sans"/>
                <w:b/>
                <w:i w:val="0"/>
                <w:color w:val="262626"/>
                <w:sz w:val="19"/>
              </w:rPr>
              <w:t>Related documents</w:t>
            </w:r>
          </w:p>
        </w:tc>
        <w:tc>
          <w:tcPr>
            <w:tcW w:type="dxa" w:w="6480"/>
          </w:tcPr>
          <w:p>
            <w:pPr>
              <w:spacing w:after="40" w:before="40"/>
            </w:pPr>
            <w:r/>
            <w:r>
              <w:rPr>
                <w:rFonts w:ascii="Open Sans" w:hAnsi="Open Sans" w:cs="Open Sans" w:eastAsia="Open Sans"/>
                <w:b/>
                <w:i w:val="0"/>
                <w:color w:val="B87333"/>
                <w:sz w:val="19"/>
              </w:rPr>
              <w:t>[MSA-YYYY-NN and SOW-YYYY-NN, or proposal dated Month DD, YYYY, or None]</w:t>
            </w:r>
          </w:p>
        </w:tc>
      </w:tr>
      <w:tr>
        <w:tc>
          <w:tcPr>
            <w:tcW w:type="dxa" w:w="2880"/>
            <w:shd w:val="clear" w:color="auto" w:fill="F3F6F7"/>
          </w:tcPr>
          <w:p>
            <w:pPr>
              <w:spacing w:after="40" w:before="40"/>
            </w:pPr>
            <w:r/>
            <w:r>
              <w:rPr>
                <w:rFonts w:ascii="Open Sans" w:hAnsi="Open Sans" w:cs="Open Sans" w:eastAsia="Open Sans"/>
                <w:b/>
                <w:i w:val="0"/>
                <w:color w:val="262626"/>
                <w:sz w:val="19"/>
              </w:rPr>
              <w:t>Effective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Total value</w:t>
            </w:r>
          </w:p>
        </w:tc>
        <w:tc>
          <w:tcPr>
            <w:tcW w:type="dxa" w:w="6480"/>
          </w:tcPr>
          <w:p>
            <w:pPr>
              <w:spacing w:after="40" w:before="40"/>
            </w:pPr>
            <w:r/>
            <w:r>
              <w:rPr>
                <w:rFonts w:ascii="Open Sans" w:hAnsi="Open Sans" w:cs="Open Sans" w:eastAsia="Open Sans"/>
                <w:b/>
                <w:i w:val="0"/>
                <w:color w:val="B87333"/>
                <w:sz w:val="19"/>
              </w:rPr>
              <w:t>[Total fee for the Project]</w:t>
            </w:r>
          </w:p>
        </w:tc>
      </w:tr>
    </w:tbl>
    <w:p>
      <w:pPr>
        <w:spacing w:after="40"/>
      </w:pPr>
    </w:p>
    <w:p>
      <w:pPr>
        <w:ind w:left="216"/>
        <w:pBdr>
          <w:bottom w:val="single" w:sz="4" w:space="4" w:color="D9E2E6"/>
        </w:pBdr>
      </w:pPr>
      <w:r>
        <w:rPr>
          <w:rFonts w:ascii="Open Sans" w:hAnsi="Open Sans" w:cs="Open Sans" w:eastAsia="Open Sans"/>
          <w:b w:val="0"/>
          <w:i/>
          <w:color w:val="666666"/>
          <w:sz w:val="19"/>
        </w:rPr>
        <w:t>Template v1.0, 2026-09-18. Replace every bracketed field, fill or delete every schedule, and delete this note before sending. The signed document governs, not this template.</w:t>
      </w:r>
    </w:p>
    <w:p>
      <w:r>
        <w:rPr>
          <w:rFonts w:ascii="Open Sans" w:hAnsi="Open Sans" w:cs="Open Sans" w:eastAsia="Open Sans"/>
          <w:b w:val="0"/>
          <w:i w:val="0"/>
          <w:color w:val="262626"/>
          <w:sz w:val="21"/>
        </w:rPr>
        <w:t>This Work Made for Hire Agreement (the "Agreement") is between the client named in the Agreement Summary above ("Client") and Luwah Technologies LLC, a Colorado limited liability company ("Provider"). Client has engaged Provider to create the work described in Exhibit A (the "Project"). The Parties intend that Client will own the results of the Project on the terms below.</w:t>
      </w:r>
    </w:p>
    <w:p>
      <w:r>
        <w:rPr>
          <w:rFonts w:ascii="Open Sans" w:hAnsi="Open Sans" w:cs="Open Sans" w:eastAsia="Open Sans"/>
          <w:b w:val="0"/>
          <w:i w:val="0"/>
          <w:color w:val="262626"/>
          <w:sz w:val="21"/>
        </w:rPr>
        <w:t>Use this Agreement when a client wants a standalone, project-specific transfer of ownership, or when no Master Services Agreement is in place. Where a Master Services Agreement is in place, this Agreement controls ownership of the Project's Work Product and the Master Services Agreement controls everything else.</w:t>
      </w:r>
    </w:p>
    <w:p>
      <w:pPr>
        <w:pStyle w:val="Heading1"/>
      </w:pPr>
      <w:r>
        <w:t>1. Definitions</w:t>
      </w:r>
    </w:p>
    <w:p>
      <w:pPr>
        <w:tabs>
          <w:tab w:pos="648" w:val="left"/>
        </w:tabs>
        <w:ind w:left="648" w:hanging="648"/>
      </w:pPr>
      <w:r>
        <w:rPr>
          <w:rFonts w:ascii="Open Sans" w:hAnsi="Open Sans" w:cs="Open Sans" w:eastAsia="Open Sans"/>
          <w:b/>
          <w:i w:val="0"/>
          <w:color w:val="4A90A4"/>
          <w:sz w:val="21"/>
        </w:rPr>
        <w:t>1.1</w:t>
        <w:tab/>
      </w:r>
      <w:r>
        <w:rPr>
          <w:rFonts w:ascii="Open Sans" w:hAnsi="Open Sans" w:cs="Open Sans" w:eastAsia="Open Sans"/>
          <w:b/>
          <w:i w:val="0"/>
          <w:color w:val="262626"/>
          <w:sz w:val="21"/>
        </w:rPr>
        <w:t xml:space="preserve">"Work Product" </w:t>
      </w:r>
      <w:r>
        <w:rPr>
          <w:rFonts w:ascii="Open Sans" w:hAnsi="Open Sans" w:cs="Open Sans" w:eastAsia="Open Sans"/>
          <w:b w:val="0"/>
          <w:i w:val="0"/>
          <w:color w:val="262626"/>
          <w:sz w:val="21"/>
        </w:rPr>
        <w:t>means all deliverables, code, workflows, configurations, designs, content, documentation and other material Provider creates for Client in the Project, including drafts and versions, but excluding Background IP, Client Materials and third-party components.</w:t>
      </w:r>
    </w:p>
    <w:p>
      <w:pPr>
        <w:tabs>
          <w:tab w:pos="648" w:val="left"/>
        </w:tabs>
        <w:ind w:left="648" w:hanging="648"/>
      </w:pPr>
      <w:r>
        <w:rPr>
          <w:rFonts w:ascii="Open Sans" w:hAnsi="Open Sans" w:cs="Open Sans" w:eastAsia="Open Sans"/>
          <w:b/>
          <w:i w:val="0"/>
          <w:color w:val="4A90A4"/>
          <w:sz w:val="21"/>
        </w:rPr>
        <w:t>1.2</w:t>
        <w:tab/>
      </w:r>
      <w:r>
        <w:rPr>
          <w:rFonts w:ascii="Open Sans" w:hAnsi="Open Sans" w:cs="Open Sans" w:eastAsia="Open Sans"/>
          <w:b/>
          <w:i w:val="0"/>
          <w:color w:val="262626"/>
          <w:sz w:val="21"/>
        </w:rPr>
        <w:t xml:space="preserve">"Background IP" </w:t>
      </w:r>
      <w:r>
        <w:rPr>
          <w:rFonts w:ascii="Open Sans" w:hAnsi="Open Sans" w:cs="Open Sans" w:eastAsia="Open Sans"/>
          <w:b w:val="0"/>
          <w:i w:val="0"/>
          <w:color w:val="262626"/>
          <w:sz w:val="21"/>
        </w:rPr>
        <w:t>means tools, code, libraries, templates, workflows, methods, know-how and documentation that Provider created or acquired outside the Project, or creates during the Project for general use rather than specifically for Client, and any improvements to them. Exhibit B lists the Background IP known at signing. Background IP that is not listed is still Background IP.</w:t>
      </w:r>
    </w:p>
    <w:p>
      <w:pPr>
        <w:tabs>
          <w:tab w:pos="648" w:val="left"/>
        </w:tabs>
        <w:ind w:left="648" w:hanging="648"/>
      </w:pPr>
      <w:r>
        <w:rPr>
          <w:rFonts w:ascii="Open Sans" w:hAnsi="Open Sans" w:cs="Open Sans" w:eastAsia="Open Sans"/>
          <w:b/>
          <w:i w:val="0"/>
          <w:color w:val="4A90A4"/>
          <w:sz w:val="21"/>
        </w:rPr>
        <w:t>1.3</w:t>
        <w:tab/>
      </w:r>
      <w:r>
        <w:rPr>
          <w:rFonts w:ascii="Open Sans" w:hAnsi="Open Sans" w:cs="Open Sans" w:eastAsia="Open Sans"/>
          <w:b/>
          <w:i w:val="0"/>
          <w:color w:val="262626"/>
          <w:sz w:val="21"/>
        </w:rPr>
        <w:t xml:space="preserve">"Client Materials" </w:t>
      </w:r>
      <w:r>
        <w:rPr>
          <w:rFonts w:ascii="Open Sans" w:hAnsi="Open Sans" w:cs="Open Sans" w:eastAsia="Open Sans"/>
          <w:b w:val="0"/>
          <w:i w:val="0"/>
          <w:color w:val="262626"/>
          <w:sz w:val="21"/>
        </w:rPr>
        <w:t>means the data, content, credentials, accounts, systems and other material Client provides to Provider.</w:t>
      </w:r>
    </w:p>
    <w:p>
      <w:pPr>
        <w:tabs>
          <w:tab w:pos="648" w:val="left"/>
        </w:tabs>
        <w:ind w:left="648" w:hanging="648"/>
      </w:pPr>
      <w:r>
        <w:rPr>
          <w:rFonts w:ascii="Open Sans" w:hAnsi="Open Sans" w:cs="Open Sans" w:eastAsia="Open Sans"/>
          <w:b/>
          <w:i w:val="0"/>
          <w:color w:val="4A90A4"/>
          <w:sz w:val="21"/>
        </w:rPr>
        <w:t>1.4</w:t>
        <w:tab/>
      </w:r>
      <w:r>
        <w:rPr>
          <w:rFonts w:ascii="Open Sans" w:hAnsi="Open Sans" w:cs="Open Sans" w:eastAsia="Open Sans"/>
          <w:b/>
          <w:i w:val="0"/>
          <w:color w:val="262626"/>
          <w:sz w:val="21"/>
        </w:rPr>
        <w:t xml:space="preserve">"Confidential Information" </w:t>
      </w:r>
      <w:r>
        <w:rPr>
          <w:rFonts w:ascii="Open Sans" w:hAnsi="Open Sans" w:cs="Open Sans" w:eastAsia="Open Sans"/>
          <w:b w:val="0"/>
          <w:i w:val="0"/>
          <w:color w:val="262626"/>
          <w:sz w:val="21"/>
        </w:rPr>
        <w:t>means non-public information one Party discloses to the other that is marked confidential or that a reasonable person would treat as confidential.</w:t>
      </w:r>
    </w:p>
    <w:p>
      <w:pPr>
        <w:pStyle w:val="Heading1"/>
      </w:pPr>
      <w:r>
        <w:t>2. Project and Compensation</w:t>
      </w:r>
    </w:p>
    <w:p>
      <w:pPr>
        <w:tabs>
          <w:tab w:pos="648" w:val="left"/>
        </w:tabs>
        <w:ind w:left="648" w:hanging="648"/>
      </w:pPr>
      <w:r>
        <w:rPr>
          <w:rFonts w:ascii="Open Sans" w:hAnsi="Open Sans" w:cs="Open Sans" w:eastAsia="Open Sans"/>
          <w:b/>
          <w:i w:val="0"/>
          <w:color w:val="4A90A4"/>
          <w:sz w:val="21"/>
        </w:rPr>
        <w:t>2.1</w:t>
        <w:tab/>
      </w:r>
      <w:r>
        <w:rPr>
          <w:rFonts w:ascii="Open Sans" w:hAnsi="Open Sans" w:cs="Open Sans" w:eastAsia="Open Sans"/>
          <w:b w:val="0"/>
          <w:i w:val="0"/>
          <w:color w:val="262626"/>
          <w:sz w:val="21"/>
        </w:rPr>
        <w:t>Provider will create the Work Product described in Exhibit A.</w:t>
      </w:r>
    </w:p>
    <w:p>
      <w:pPr>
        <w:tabs>
          <w:tab w:pos="648" w:val="left"/>
        </w:tabs>
        <w:ind w:left="648" w:hanging="648"/>
      </w:pPr>
      <w:r>
        <w:rPr>
          <w:rFonts w:ascii="Open Sans" w:hAnsi="Open Sans" w:cs="Open Sans" w:eastAsia="Open Sans"/>
          <w:b/>
          <w:i w:val="0"/>
          <w:color w:val="4A90A4"/>
          <w:sz w:val="21"/>
        </w:rPr>
        <w:t>2.2</w:t>
        <w:tab/>
      </w:r>
      <w:r>
        <w:rPr>
          <w:rFonts w:ascii="Open Sans" w:hAnsi="Open Sans" w:cs="Open Sans" w:eastAsia="Open Sans"/>
          <w:b w:val="0"/>
          <w:i w:val="0"/>
          <w:color w:val="262626"/>
          <w:sz w:val="21"/>
        </w:rPr>
        <w:t>Client pays the fee stated in Exhibit A on the schedule stated there. If a Master Services Agreement and Statement of Work cover the Project, their payment terms apply instead.</w:t>
      </w:r>
    </w:p>
    <w:p>
      <w:pPr>
        <w:tabs>
          <w:tab w:pos="648" w:val="left"/>
        </w:tabs>
        <w:ind w:left="648" w:hanging="648"/>
      </w:pPr>
      <w:r>
        <w:rPr>
          <w:rFonts w:ascii="Open Sans" w:hAnsi="Open Sans" w:cs="Open Sans" w:eastAsia="Open Sans"/>
          <w:b/>
          <w:i w:val="0"/>
          <w:color w:val="4A90A4"/>
          <w:sz w:val="21"/>
        </w:rPr>
        <w:t>2.3</w:t>
        <w:tab/>
      </w:r>
      <w:r>
        <w:rPr>
          <w:rFonts w:ascii="Open Sans" w:hAnsi="Open Sans" w:cs="Open Sans" w:eastAsia="Open Sans"/>
          <w:b w:val="0"/>
          <w:i w:val="0"/>
          <w:color w:val="262626"/>
          <w:sz w:val="21"/>
        </w:rPr>
        <w:t>Ownership transfers under Section 3 only when Client has paid in full.</w:t>
      </w:r>
    </w:p>
    <w:p>
      <w:pPr>
        <w:pStyle w:val="Heading1"/>
      </w:pPr>
      <w:r>
        <w:t>3. Ownership of Work Product</w:t>
      </w:r>
    </w:p>
    <w:p>
      <w:pPr>
        <w:tabs>
          <w:tab w:pos="648" w:val="left"/>
        </w:tabs>
        <w:ind w:left="648" w:hanging="648"/>
      </w:pPr>
      <w:r>
        <w:rPr>
          <w:rFonts w:ascii="Open Sans" w:hAnsi="Open Sans" w:cs="Open Sans" w:eastAsia="Open Sans"/>
          <w:b/>
          <w:i w:val="0"/>
          <w:color w:val="4A90A4"/>
          <w:sz w:val="21"/>
        </w:rPr>
        <w:t>3.1</w:t>
        <w:tab/>
      </w:r>
      <w:r>
        <w:rPr>
          <w:rFonts w:ascii="Open Sans" w:hAnsi="Open Sans" w:cs="Open Sans" w:eastAsia="Open Sans"/>
          <w:b/>
          <w:i w:val="0"/>
          <w:color w:val="262626"/>
          <w:sz w:val="21"/>
        </w:rPr>
        <w:t xml:space="preserve">Work made for hire. </w:t>
      </w:r>
      <w:r>
        <w:rPr>
          <w:rFonts w:ascii="Open Sans" w:hAnsi="Open Sans" w:cs="Open Sans" w:eastAsia="Open Sans"/>
          <w:b w:val="0"/>
          <w:i w:val="0"/>
          <w:color w:val="262626"/>
          <w:sz w:val="21"/>
        </w:rPr>
        <w:t>The Parties agree that the Work Product is specially ordered or commissioned by Client and is a "work made for hire" under the United States Copyright Act, 17 U.S.C. § 101, to the fullest extent the law allows.</w:t>
      </w:r>
    </w:p>
    <w:p>
      <w:pPr>
        <w:tabs>
          <w:tab w:pos="648" w:val="left"/>
        </w:tabs>
        <w:ind w:left="648" w:hanging="648"/>
      </w:pPr>
      <w:r>
        <w:rPr>
          <w:rFonts w:ascii="Open Sans" w:hAnsi="Open Sans" w:cs="Open Sans" w:eastAsia="Open Sans"/>
          <w:b/>
          <w:i w:val="0"/>
          <w:color w:val="4A90A4"/>
          <w:sz w:val="21"/>
        </w:rPr>
        <w:t>3.2</w:t>
        <w:tab/>
      </w:r>
      <w:r>
        <w:rPr>
          <w:rFonts w:ascii="Open Sans" w:hAnsi="Open Sans" w:cs="Open Sans" w:eastAsia="Open Sans"/>
          <w:b/>
          <w:i w:val="0"/>
          <w:color w:val="262626"/>
          <w:sz w:val="21"/>
        </w:rPr>
        <w:t xml:space="preserve">Assignment. </w:t>
      </w:r>
      <w:r>
        <w:rPr>
          <w:rFonts w:ascii="Open Sans" w:hAnsi="Open Sans" w:cs="Open Sans" w:eastAsia="Open Sans"/>
          <w:b w:val="0"/>
          <w:i w:val="0"/>
          <w:color w:val="262626"/>
          <w:sz w:val="21"/>
        </w:rPr>
        <w:t>To the extent any Work Product does not qualify as a work made for hire, Provider irrevocably assigns to Client, effective when Client pays in full, all right, title and interest in the Work Product worldwide, including all copyrights, and any patent, trademark and trade secret rights in it, together with the right to sue for past and future infringement.</w:t>
      </w:r>
    </w:p>
    <w:p>
      <w:pPr>
        <w:tabs>
          <w:tab w:pos="648" w:val="left"/>
        </w:tabs>
        <w:ind w:left="648" w:hanging="648"/>
      </w:pPr>
      <w:r>
        <w:rPr>
          <w:rFonts w:ascii="Open Sans" w:hAnsi="Open Sans" w:cs="Open Sans" w:eastAsia="Open Sans"/>
          <w:b/>
          <w:i w:val="0"/>
          <w:color w:val="4A90A4"/>
          <w:sz w:val="21"/>
        </w:rPr>
        <w:t>3.3</w:t>
        <w:tab/>
      </w:r>
      <w:r>
        <w:rPr>
          <w:rFonts w:ascii="Open Sans" w:hAnsi="Open Sans" w:cs="Open Sans" w:eastAsia="Open Sans"/>
          <w:b/>
          <w:i w:val="0"/>
          <w:color w:val="262626"/>
          <w:sz w:val="21"/>
        </w:rPr>
        <w:t xml:space="preserve">Moral rights. </w:t>
      </w:r>
      <w:r>
        <w:rPr>
          <w:rFonts w:ascii="Open Sans" w:hAnsi="Open Sans" w:cs="Open Sans" w:eastAsia="Open Sans"/>
          <w:b w:val="0"/>
          <w:i w:val="0"/>
          <w:color w:val="262626"/>
          <w:sz w:val="21"/>
        </w:rPr>
        <w:t>To the extent the law allows, Provider waives, and agrees not to assert against Client or its successors, any moral rights in the Work Product.</w:t>
      </w:r>
    </w:p>
    <w:p>
      <w:pPr>
        <w:tabs>
          <w:tab w:pos="648" w:val="left"/>
        </w:tabs>
        <w:ind w:left="648" w:hanging="648"/>
      </w:pPr>
      <w:r>
        <w:rPr>
          <w:rFonts w:ascii="Open Sans" w:hAnsi="Open Sans" w:cs="Open Sans" w:eastAsia="Open Sans"/>
          <w:b/>
          <w:i w:val="0"/>
          <w:color w:val="4A90A4"/>
          <w:sz w:val="21"/>
        </w:rPr>
        <w:t>3.4</w:t>
        <w:tab/>
      </w:r>
      <w:r>
        <w:rPr>
          <w:rFonts w:ascii="Open Sans" w:hAnsi="Open Sans" w:cs="Open Sans" w:eastAsia="Open Sans"/>
          <w:b/>
          <w:i w:val="0"/>
          <w:color w:val="262626"/>
          <w:sz w:val="21"/>
        </w:rPr>
        <w:t xml:space="preserve">Further assurances. </w:t>
      </w:r>
      <w:r>
        <w:rPr>
          <w:rFonts w:ascii="Open Sans" w:hAnsi="Open Sans" w:cs="Open Sans" w:eastAsia="Open Sans"/>
          <w:b w:val="0"/>
          <w:i w:val="0"/>
          <w:color w:val="262626"/>
          <w:sz w:val="21"/>
        </w:rPr>
        <w:t>Provider will sign any document and take any lawful step Client reasonably requests, at Client's expense, to record or perfect Client's ownership.</w:t>
      </w:r>
    </w:p>
    <w:p>
      <w:pPr>
        <w:tabs>
          <w:tab w:pos="648" w:val="left"/>
        </w:tabs>
        <w:ind w:left="648" w:hanging="648"/>
      </w:pPr>
      <w:r>
        <w:rPr>
          <w:rFonts w:ascii="Open Sans" w:hAnsi="Open Sans" w:cs="Open Sans" w:eastAsia="Open Sans"/>
          <w:b/>
          <w:i w:val="0"/>
          <w:color w:val="4A90A4"/>
          <w:sz w:val="21"/>
        </w:rPr>
        <w:t>3.5</w:t>
        <w:tab/>
      </w:r>
      <w:r>
        <w:rPr>
          <w:rFonts w:ascii="Open Sans" w:hAnsi="Open Sans" w:cs="Open Sans" w:eastAsia="Open Sans"/>
          <w:b/>
          <w:i w:val="0"/>
          <w:color w:val="262626"/>
          <w:sz w:val="21"/>
        </w:rPr>
        <w:t xml:space="preserve">Before payment in full. </w:t>
      </w:r>
      <w:r>
        <w:rPr>
          <w:rFonts w:ascii="Open Sans" w:hAnsi="Open Sans" w:cs="Open Sans" w:eastAsia="Open Sans"/>
          <w:b w:val="0"/>
          <w:i w:val="0"/>
          <w:color w:val="262626"/>
          <w:sz w:val="21"/>
        </w:rPr>
        <w:t>Until Client pays in full, Provider owns the Work Product and Client may use it only to review it. If Client does not pay in full, no transfer occurs, and Client must stop using and delete the Work Product on Provider's written request.</w:t>
      </w:r>
    </w:p>
    <w:p>
      <w:pPr>
        <w:tabs>
          <w:tab w:pos="648" w:val="left"/>
        </w:tabs>
        <w:ind w:left="648" w:hanging="648"/>
      </w:pPr>
      <w:r>
        <w:rPr>
          <w:rFonts w:ascii="Open Sans" w:hAnsi="Open Sans" w:cs="Open Sans" w:eastAsia="Open Sans"/>
          <w:b/>
          <w:i w:val="0"/>
          <w:color w:val="4A90A4"/>
          <w:sz w:val="21"/>
        </w:rPr>
        <w:t>3.6</w:t>
        <w:tab/>
      </w:r>
      <w:r>
        <w:rPr>
          <w:rFonts w:ascii="Open Sans" w:hAnsi="Open Sans" w:cs="Open Sans" w:eastAsia="Open Sans"/>
          <w:b/>
          <w:i w:val="0"/>
          <w:color w:val="262626"/>
          <w:sz w:val="21"/>
        </w:rPr>
        <w:t xml:space="preserve">Client's use after transfer. </w:t>
      </w:r>
      <w:r>
        <w:rPr>
          <w:rFonts w:ascii="Open Sans" w:hAnsi="Open Sans" w:cs="Open Sans" w:eastAsia="Open Sans"/>
          <w:b w:val="0"/>
          <w:i w:val="0"/>
          <w:color w:val="262626"/>
          <w:sz w:val="21"/>
        </w:rPr>
        <w:t>After the transfer, Client may use, modify, and distribute the Work Product without restriction, subject to Section 4 for Background IP and third-party components.</w:t>
      </w:r>
    </w:p>
    <w:p>
      <w:pPr>
        <w:pStyle w:val="Heading1"/>
      </w:pPr>
      <w:r>
        <w:t>4. Background IP and Third-Party Materials</w:t>
      </w:r>
    </w:p>
    <w:p>
      <w:pPr>
        <w:tabs>
          <w:tab w:pos="648" w:val="left"/>
        </w:tabs>
        <w:ind w:left="648" w:hanging="648"/>
      </w:pPr>
      <w:r>
        <w:rPr>
          <w:rFonts w:ascii="Open Sans" w:hAnsi="Open Sans" w:cs="Open Sans" w:eastAsia="Open Sans"/>
          <w:b/>
          <w:i w:val="0"/>
          <w:color w:val="4A90A4"/>
          <w:sz w:val="21"/>
        </w:rPr>
        <w:t>4.1</w:t>
        <w:tab/>
      </w:r>
      <w:r>
        <w:rPr>
          <w:rFonts w:ascii="Open Sans" w:hAnsi="Open Sans" w:cs="Open Sans" w:eastAsia="Open Sans"/>
          <w:b/>
          <w:i w:val="0"/>
          <w:color w:val="262626"/>
          <w:sz w:val="21"/>
        </w:rPr>
        <w:t xml:space="preserve">Reservation. </w:t>
      </w:r>
      <w:r>
        <w:rPr>
          <w:rFonts w:ascii="Open Sans" w:hAnsi="Open Sans" w:cs="Open Sans" w:eastAsia="Open Sans"/>
          <w:b w:val="0"/>
          <w:i w:val="0"/>
          <w:color w:val="262626"/>
          <w:sz w:val="21"/>
        </w:rPr>
        <w:t>Provider keeps ownership of all Background IP, including the items listed in Exhibit B.</w:t>
      </w:r>
    </w:p>
    <w:p>
      <w:pPr>
        <w:tabs>
          <w:tab w:pos="648" w:val="left"/>
        </w:tabs>
        <w:ind w:left="648" w:hanging="648"/>
      </w:pPr>
      <w:r>
        <w:rPr>
          <w:rFonts w:ascii="Open Sans" w:hAnsi="Open Sans" w:cs="Open Sans" w:eastAsia="Open Sans"/>
          <w:b/>
          <w:i w:val="0"/>
          <w:color w:val="4A90A4"/>
          <w:sz w:val="21"/>
        </w:rPr>
        <w:t>4.2</w:t>
        <w:tab/>
      </w:r>
      <w:r>
        <w:rPr>
          <w:rFonts w:ascii="Open Sans" w:hAnsi="Open Sans" w:cs="Open Sans" w:eastAsia="Open Sans"/>
          <w:b/>
          <w:i w:val="0"/>
          <w:color w:val="262626"/>
          <w:sz w:val="21"/>
        </w:rPr>
        <w:t xml:space="preserve">License. </w:t>
      </w:r>
      <w:r>
        <w:rPr>
          <w:rFonts w:ascii="Open Sans" w:hAnsi="Open Sans" w:cs="Open Sans" w:eastAsia="Open Sans"/>
          <w:b w:val="0"/>
          <w:i w:val="0"/>
          <w:color w:val="262626"/>
          <w:sz w:val="21"/>
        </w:rPr>
        <w:t>Where Background IP is incorporated into the Work Product, Provider grants Client a perpetual, worldwide, non-exclusive, royalty-free license, irrevocable once Client has paid in full, to use, copy, modify and distribute that Background IP as part of the Work Product for Client's business purposes, except as Section 4.5 provides. Client may transfer this license with the Work Product to a successor or acquirer of Client's business. Client may not sell or license the Background IP on its own.</w:t>
      </w:r>
    </w:p>
    <w:p>
      <w:pPr>
        <w:tabs>
          <w:tab w:pos="648" w:val="left"/>
        </w:tabs>
        <w:ind w:left="648" w:hanging="648"/>
      </w:pPr>
      <w:r>
        <w:rPr>
          <w:rFonts w:ascii="Open Sans" w:hAnsi="Open Sans" w:cs="Open Sans" w:eastAsia="Open Sans"/>
          <w:b/>
          <w:i w:val="0"/>
          <w:color w:val="4A90A4"/>
          <w:sz w:val="21"/>
        </w:rPr>
        <w:t>4.3</w:t>
        <w:tab/>
      </w:r>
      <w:r>
        <w:rPr>
          <w:rFonts w:ascii="Open Sans" w:hAnsi="Open Sans" w:cs="Open Sans" w:eastAsia="Open Sans"/>
          <w:b/>
          <w:i w:val="0"/>
          <w:color w:val="262626"/>
          <w:sz w:val="21"/>
        </w:rPr>
        <w:t xml:space="preserve">Open source and third-party components. </w:t>
      </w:r>
      <w:r>
        <w:rPr>
          <w:rFonts w:ascii="Open Sans" w:hAnsi="Open Sans" w:cs="Open Sans" w:eastAsia="Open Sans"/>
          <w:b w:val="0"/>
          <w:i w:val="0"/>
          <w:color w:val="262626"/>
          <w:sz w:val="21"/>
        </w:rPr>
        <w:t>The Work Product may include open source or third-party components. Those components remain subject to their own licenses, which Provider will identify on request. Provider will not include a component whose license would require Client to publish Client's own source code without Client's written approval.</w:t>
      </w:r>
    </w:p>
    <w:p>
      <w:pPr>
        <w:tabs>
          <w:tab w:pos="648" w:val="left"/>
        </w:tabs>
        <w:ind w:left="648" w:hanging="648"/>
      </w:pPr>
      <w:r>
        <w:rPr>
          <w:rFonts w:ascii="Open Sans" w:hAnsi="Open Sans" w:cs="Open Sans" w:eastAsia="Open Sans"/>
          <w:b/>
          <w:i w:val="0"/>
          <w:color w:val="4A90A4"/>
          <w:sz w:val="21"/>
        </w:rPr>
        <w:t>4.4</w:t>
        <w:tab/>
      </w:r>
      <w:r>
        <w:rPr>
          <w:rFonts w:ascii="Open Sans" w:hAnsi="Open Sans" w:cs="Open Sans" w:eastAsia="Open Sans"/>
          <w:b/>
          <w:i w:val="0"/>
          <w:color w:val="262626"/>
          <w:sz w:val="21"/>
        </w:rPr>
        <w:t xml:space="preserve">Reuse. </w:t>
      </w:r>
      <w:r>
        <w:rPr>
          <w:rFonts w:ascii="Open Sans" w:hAnsi="Open Sans" w:cs="Open Sans" w:eastAsia="Open Sans"/>
          <w:b w:val="0"/>
          <w:i w:val="0"/>
          <w:color w:val="262626"/>
          <w:sz w:val="21"/>
        </w:rPr>
        <w:t>Provider may reuse its Background IP, and the general skills, knowledge, patterns and techniques it gains in the Project, for other clients, provided Provider does not use or disclose Client Confidential Information or the Work Product itself.</w:t>
      </w:r>
    </w:p>
    <w:p>
      <w:pPr>
        <w:tabs>
          <w:tab w:pos="648" w:val="left"/>
        </w:tabs>
        <w:ind w:left="648" w:hanging="648"/>
      </w:pPr>
      <w:r>
        <w:rPr>
          <w:rFonts w:ascii="Open Sans" w:hAnsi="Open Sans" w:cs="Open Sans" w:eastAsia="Open Sans"/>
          <w:b/>
          <w:i w:val="0"/>
          <w:color w:val="4A90A4"/>
          <w:sz w:val="21"/>
        </w:rPr>
        <w:t>4.5</w:t>
        <w:tab/>
      </w:r>
      <w:r>
        <w:rPr>
          <w:rFonts w:ascii="Open Sans" w:hAnsi="Open Sans" w:cs="Open Sans" w:eastAsia="Open Sans"/>
          <w:b/>
          <w:i w:val="0"/>
          <w:color w:val="262626"/>
          <w:sz w:val="21"/>
        </w:rPr>
        <w:t xml:space="preserve">Accessibility toolkit. </w:t>
      </w:r>
      <w:r>
        <w:rPr>
          <w:rFonts w:ascii="Open Sans" w:hAnsi="Open Sans" w:cs="Open Sans" w:eastAsia="Open Sans"/>
          <w:b w:val="0"/>
          <w:i w:val="0"/>
          <w:color w:val="262626"/>
          <w:sz w:val="21"/>
        </w:rPr>
        <w:t>The Luwah Accessibility Toolkit, meaning the Accessibility Center launcher and drawer, the disability profiles and individual adjustments, the page-structure navigator, the reading overlays, the image description layer, the text magnifier, the read mode, the embed focus ring, the sound muting and hidden image text layers, the issue report form, the accessibility statement content, the keyboard shortcut handling and the CSS hooks, together with every other component, style, hook and document shipped as part of it, is Background IP that Provider designed, built and owns. Where the Toolkit is delivered with a website, Client receives the license in Section 4.2 as part of the Deliverable, on the Project's website only. Client may configure and modify the Toolkit on that website. Client may not copy the Toolkit to another website, application, product or system, remove it for separate use, sublicense, sell, rent, lease or distribute it on its own, remove or alter Provider's notices in it, present it as Client's own product or as a third-party vendor's product, or let a third party do any of those things. Use on any other property needs a separate written license from Provider. The accessibility statement published with the Toolkit describes a self-assessment against WCAG 2.2 AA, not a certification, and Client keeps that statement accurate to the website it describes after delivery.</w:t>
      </w:r>
    </w:p>
    <w:p>
      <w:pPr>
        <w:pStyle w:val="Heading1"/>
      </w:pPr>
      <w:r>
        <w:t>5. Client Materials</w:t>
      </w:r>
    </w:p>
    <w:p>
      <w:pPr>
        <w:tabs>
          <w:tab w:pos="648" w:val="left"/>
        </w:tabs>
        <w:ind w:left="648" w:hanging="648"/>
      </w:pPr>
      <w:r>
        <w:rPr>
          <w:rFonts w:ascii="Open Sans" w:hAnsi="Open Sans" w:cs="Open Sans" w:eastAsia="Open Sans"/>
          <w:b/>
          <w:i w:val="0"/>
          <w:color w:val="4A90A4"/>
          <w:sz w:val="21"/>
        </w:rPr>
        <w:t>5.1</w:t>
        <w:tab/>
      </w:r>
      <w:r>
        <w:rPr>
          <w:rFonts w:ascii="Open Sans" w:hAnsi="Open Sans" w:cs="Open Sans" w:eastAsia="Open Sans"/>
          <w:b w:val="0"/>
          <w:i w:val="0"/>
          <w:color w:val="262626"/>
          <w:sz w:val="21"/>
        </w:rPr>
        <w:t>Client keeps all rights in Client Materials. Client grants Provider a non-exclusive license to use Client Materials only to perform the Project.</w:t>
      </w:r>
    </w:p>
    <w:p>
      <w:pPr>
        <w:tabs>
          <w:tab w:pos="648" w:val="left"/>
        </w:tabs>
        <w:ind w:left="648" w:hanging="648"/>
      </w:pPr>
      <w:r>
        <w:rPr>
          <w:rFonts w:ascii="Open Sans" w:hAnsi="Open Sans" w:cs="Open Sans" w:eastAsia="Open Sans"/>
          <w:b/>
          <w:i w:val="0"/>
          <w:color w:val="4A90A4"/>
          <w:sz w:val="21"/>
        </w:rPr>
        <w:t>5.2</w:t>
        <w:tab/>
      </w:r>
      <w:r>
        <w:rPr>
          <w:rFonts w:ascii="Open Sans" w:hAnsi="Open Sans" w:cs="Open Sans" w:eastAsia="Open Sans"/>
          <w:b w:val="0"/>
          <w:i w:val="0"/>
          <w:color w:val="262626"/>
          <w:sz w:val="21"/>
        </w:rPr>
        <w:t>Client warrants that it has the rights needed to give the Client Materials to Provider for the Project and that their use in the Project will not infringe a third party's rights.</w:t>
      </w:r>
    </w:p>
    <w:p>
      <w:pPr>
        <w:pStyle w:val="Heading1"/>
      </w:pPr>
      <w:r>
        <w:t>6. Provider's Representations</w:t>
      </w:r>
    </w:p>
    <w:p>
      <w:pPr>
        <w:tabs>
          <w:tab w:pos="648" w:val="left"/>
        </w:tabs>
        <w:ind w:left="648" w:hanging="648"/>
      </w:pPr>
      <w:r>
        <w:rPr>
          <w:rFonts w:ascii="Open Sans" w:hAnsi="Open Sans" w:cs="Open Sans" w:eastAsia="Open Sans"/>
          <w:b/>
          <w:i w:val="0"/>
          <w:color w:val="4A90A4"/>
          <w:sz w:val="21"/>
        </w:rPr>
        <w:t>6.1</w:t>
        <w:tab/>
      </w:r>
      <w:r>
        <w:rPr>
          <w:rFonts w:ascii="Open Sans" w:hAnsi="Open Sans" w:cs="Open Sans" w:eastAsia="Open Sans"/>
          <w:b w:val="0"/>
          <w:i w:val="0"/>
          <w:color w:val="262626"/>
          <w:sz w:val="21"/>
        </w:rPr>
        <w:t>Provider has the right to enter this Agreement and to grant the rights in it, and no other agreement conflicts with it.</w:t>
      </w:r>
    </w:p>
    <w:p>
      <w:pPr>
        <w:tabs>
          <w:tab w:pos="648" w:val="left"/>
        </w:tabs>
        <w:ind w:left="648" w:hanging="648"/>
      </w:pPr>
      <w:r>
        <w:rPr>
          <w:rFonts w:ascii="Open Sans" w:hAnsi="Open Sans" w:cs="Open Sans" w:eastAsia="Open Sans"/>
          <w:b/>
          <w:i w:val="0"/>
          <w:color w:val="4A90A4"/>
          <w:sz w:val="21"/>
        </w:rPr>
        <w:t>6.2</w:t>
        <w:tab/>
      </w:r>
      <w:r>
        <w:rPr>
          <w:rFonts w:ascii="Open Sans" w:hAnsi="Open Sans" w:cs="Open Sans" w:eastAsia="Open Sans"/>
          <w:b w:val="0"/>
          <w:i w:val="0"/>
          <w:color w:val="262626"/>
          <w:sz w:val="21"/>
        </w:rPr>
        <w:t>The Work Product is Provider's original work, except for Background IP, Client Materials and third-party components identified under Section 4.3, and to Provider's knowledge does not infringe any third party's intellectual property rights.</w:t>
      </w:r>
    </w:p>
    <w:p>
      <w:pPr>
        <w:tabs>
          <w:tab w:pos="648" w:val="left"/>
        </w:tabs>
        <w:ind w:left="648" w:hanging="648"/>
      </w:pPr>
      <w:r>
        <w:rPr>
          <w:rFonts w:ascii="Open Sans" w:hAnsi="Open Sans" w:cs="Open Sans" w:eastAsia="Open Sans"/>
          <w:b/>
          <w:i w:val="0"/>
          <w:color w:val="4A90A4"/>
          <w:sz w:val="21"/>
        </w:rPr>
        <w:t>6.3</w:t>
        <w:tab/>
      </w:r>
      <w:r>
        <w:rPr>
          <w:rFonts w:ascii="Open Sans" w:hAnsi="Open Sans" w:cs="Open Sans" w:eastAsia="Open Sans"/>
          <w:b w:val="0"/>
          <w:i w:val="0"/>
          <w:color w:val="262626"/>
          <w:sz w:val="21"/>
        </w:rPr>
        <w:t>Provider has obtained, or will obtain before delivery, from any subcontractor who contributes to the Work Product a written assignment sufficient to give Client the rights in this Agreement.</w:t>
      </w:r>
    </w:p>
    <w:p>
      <w:pPr>
        <w:tabs>
          <w:tab w:pos="648" w:val="left"/>
        </w:tabs>
        <w:ind w:left="648" w:hanging="648"/>
      </w:pPr>
      <w:r>
        <w:rPr>
          <w:rFonts w:ascii="Open Sans" w:hAnsi="Open Sans" w:cs="Open Sans" w:eastAsia="Open Sans"/>
          <w:b/>
          <w:i w:val="0"/>
          <w:color w:val="4A90A4"/>
          <w:sz w:val="21"/>
        </w:rPr>
        <w:t>6.4</w:t>
        <w:tab/>
      </w:r>
      <w:r>
        <w:rPr>
          <w:rFonts w:ascii="Open Sans" w:hAnsi="Open Sans" w:cs="Open Sans" w:eastAsia="Open Sans"/>
          <w:b w:val="0"/>
          <w:i w:val="0"/>
          <w:color w:val="262626"/>
          <w:sz w:val="21"/>
        </w:rPr>
        <w:t>Provider uses AI-assisted tools, including Anthropic Claude and Google Gemini, where they help, to build Work Product and to help manage the Services, for example code, documentation, meeting notes and operations. Provider applies human authorship, review, selection and arrangement to all Work Product and to every change made while operating it, and remains responsible for the result. Ownership of Work Product under this Agreement applies regardless of the tools used to create it, and Provider's warranties are about performance and the right to transfer, not about the method of authorship. Provider submits Client Confidential Information only to AI tools operated under terms that do not permit the vendor to train on submitted content or to use it for any purpose other than providing the service and its safety review, and a submission on those terms is a permitted disclosure under the confidentiality Section of this Agreement. Provider does not submit credentials to any AI tool, and submits protected health information, payment card data or other regulated data only where an SOW or other written agreement between the Parties expressly provides for it. Where an AI tool records or transcribes a meeting, Provider tells the participants before it starts. Client acknowledges that the copyright status of material generated by an AI tool without human authorship is unsettled, and that Provider does not warrant copyright protection for any such portion. On request Provider will state which AI tools were used on a Deliverable.</w:t>
      </w:r>
    </w:p>
    <w:p>
      <w:pPr>
        <w:pStyle w:val="Heading1"/>
      </w:pPr>
      <w:r>
        <w:t>7. Confidentiality</w:t>
      </w:r>
    </w:p>
    <w:p>
      <w:pPr>
        <w:tabs>
          <w:tab w:pos="648" w:val="left"/>
        </w:tabs>
        <w:ind w:left="648" w:hanging="648"/>
      </w:pPr>
      <w:r>
        <w:rPr>
          <w:rFonts w:ascii="Open Sans" w:hAnsi="Open Sans" w:cs="Open Sans" w:eastAsia="Open Sans"/>
          <w:b/>
          <w:i w:val="0"/>
          <w:color w:val="4A90A4"/>
          <w:sz w:val="21"/>
        </w:rPr>
        <w:t>7.1</w:t>
        <w:tab/>
      </w:r>
      <w:r>
        <w:rPr>
          <w:rFonts w:ascii="Open Sans" w:hAnsi="Open Sans" w:cs="Open Sans" w:eastAsia="Open Sans"/>
          <w:b w:val="0"/>
          <w:i w:val="0"/>
          <w:color w:val="262626"/>
          <w:sz w:val="21"/>
        </w:rPr>
        <w:t>Each Party will use the other Party's Confidential Information only for the Project, will protect it with reasonable care, and will not disclose it to anyone other than its employees, contractors and advisers who need to know it and are bound by written confidentiality obligations.</w:t>
      </w:r>
    </w:p>
    <w:p>
      <w:pPr>
        <w:tabs>
          <w:tab w:pos="648" w:val="left"/>
        </w:tabs>
        <w:ind w:left="648" w:hanging="648"/>
      </w:pPr>
      <w:r>
        <w:rPr>
          <w:rFonts w:ascii="Open Sans" w:hAnsi="Open Sans" w:cs="Open Sans" w:eastAsia="Open Sans"/>
          <w:b/>
          <w:i w:val="0"/>
          <w:color w:val="4A90A4"/>
          <w:sz w:val="21"/>
        </w:rPr>
        <w:t>7.2</w:t>
        <w:tab/>
      </w:r>
      <w:r>
        <w:rPr>
          <w:rFonts w:ascii="Open Sans" w:hAnsi="Open Sans" w:cs="Open Sans" w:eastAsia="Open Sans"/>
          <w:b w:val="0"/>
          <w:i w:val="0"/>
          <w:color w:val="262626"/>
          <w:sz w:val="21"/>
        </w:rPr>
        <w:t>These obligations do not apply to information that is or becomes public through no fault of the receiving Party, that the receiving Party already knew or lawfully receives without a duty of confidence, or that the receiving Party develops independently. A Party may disclose Confidential Information when the law requires, after prompt notice where lawful.</w:t>
      </w:r>
    </w:p>
    <w:p>
      <w:pPr>
        <w:tabs>
          <w:tab w:pos="648" w:val="left"/>
        </w:tabs>
        <w:ind w:left="648" w:hanging="648"/>
      </w:pPr>
      <w:r>
        <w:rPr>
          <w:rFonts w:ascii="Open Sans" w:hAnsi="Open Sans" w:cs="Open Sans" w:eastAsia="Open Sans"/>
          <w:b/>
          <w:i w:val="0"/>
          <w:color w:val="4A90A4"/>
          <w:sz w:val="21"/>
        </w:rPr>
        <w:t>7.3</w:t>
        <w:tab/>
      </w:r>
      <w:r>
        <w:rPr>
          <w:rFonts w:ascii="Open Sans" w:hAnsi="Open Sans" w:cs="Open Sans" w:eastAsia="Open Sans"/>
          <w:b w:val="0"/>
          <w:i w:val="0"/>
          <w:color w:val="262626"/>
          <w:sz w:val="21"/>
        </w:rPr>
        <w:t>These obligations last for 3 years after the Project ends, and for trade secrets and credentials for as long as they remain a trade secret or active. If a non-disclosure agreement or Master Services Agreement between the Parties is in force, its confidentiality terms apply in addition, and the more protective term controls.</w:t>
      </w:r>
    </w:p>
    <w:p>
      <w:pPr>
        <w:pStyle w:val="Heading1"/>
      </w:pPr>
      <w:r>
        <w:t>8. Portfolio and Credit</w:t>
      </w:r>
    </w:p>
    <w:p>
      <w:pPr>
        <w:tabs>
          <w:tab w:pos="648" w:val="left"/>
        </w:tabs>
        <w:ind w:left="648" w:hanging="648"/>
      </w:pPr>
      <w:r>
        <w:rPr>
          <w:rFonts w:ascii="Open Sans" w:hAnsi="Open Sans" w:cs="Open Sans" w:eastAsia="Open Sans"/>
          <w:b/>
          <w:i w:val="0"/>
          <w:color w:val="4A90A4"/>
          <w:sz w:val="21"/>
        </w:rPr>
        <w:t>8.1</w:t>
        <w:tab/>
      </w:r>
      <w:r>
        <w:rPr>
          <w:rFonts w:ascii="Open Sans" w:hAnsi="Open Sans" w:cs="Open Sans" w:eastAsia="Open Sans"/>
          <w:b w:val="0"/>
          <w:i w:val="0"/>
          <w:color w:val="262626"/>
          <w:sz w:val="21"/>
        </w:rPr>
        <w:t>Provider may name Client and describe the general nature of the Project in Provider's portfolio and marketing only with Client's prior written consent, which may be given by email, and without disclosing Confidential Information. Client may withdraw consent at any time by written notice.</w:t>
      </w:r>
    </w:p>
    <w:p>
      <w:pPr>
        <w:pStyle w:val="Heading1"/>
      </w:pPr>
      <w:r>
        <w:t>9. Relationship of the Parties</w:t>
      </w:r>
    </w:p>
    <w:p>
      <w:pPr>
        <w:tabs>
          <w:tab w:pos="648" w:val="left"/>
        </w:tabs>
        <w:ind w:left="648" w:hanging="648"/>
      </w:pPr>
      <w:r>
        <w:rPr>
          <w:rFonts w:ascii="Open Sans" w:hAnsi="Open Sans" w:cs="Open Sans" w:eastAsia="Open Sans"/>
          <w:b/>
          <w:i w:val="0"/>
          <w:color w:val="4A90A4"/>
          <w:sz w:val="21"/>
        </w:rPr>
        <w:t>9.1</w:t>
        <w:tab/>
      </w:r>
      <w:r>
        <w:rPr>
          <w:rFonts w:ascii="Open Sans" w:hAnsi="Open Sans" w:cs="Open Sans" w:eastAsia="Open Sans"/>
          <w:b w:val="0"/>
          <w:i w:val="0"/>
          <w:color w:val="262626"/>
          <w:sz w:val="21"/>
        </w:rPr>
        <w:t>Provider is an independent contractor. Provider controls the manner and means of performing the Project. Nothing in this Agreement creates a partnership, joint venture, employment or agency relationship, and neither Party may bind the other.</w:t>
      </w:r>
    </w:p>
    <w:p>
      <w:pPr>
        <w:pStyle w:val="Heading1"/>
      </w:pPr>
      <w:r>
        <w:t>10. Warranty and Limitation of Liability</w:t>
      </w:r>
    </w:p>
    <w:p>
      <w:pPr>
        <w:tabs>
          <w:tab w:pos="648" w:val="left"/>
        </w:tabs>
        <w:ind w:left="648" w:hanging="648"/>
      </w:pPr>
      <w:r>
        <w:rPr>
          <w:rFonts w:ascii="Open Sans" w:hAnsi="Open Sans" w:cs="Open Sans" w:eastAsia="Open Sans"/>
          <w:b/>
          <w:i w:val="0"/>
          <w:color w:val="4A90A4"/>
          <w:sz w:val="21"/>
        </w:rPr>
        <w:t>10.1</w:t>
        <w:tab/>
      </w:r>
      <w:r>
        <w:rPr>
          <w:rFonts w:ascii="Open Sans" w:hAnsi="Open Sans" w:cs="Open Sans" w:eastAsia="Open Sans"/>
          <w:b w:val="0"/>
          <w:i w:val="0"/>
          <w:color w:val="262626"/>
          <w:sz w:val="21"/>
        </w:rPr>
        <w:t>If a Master Services Agreement between the Parties covers the Project, its warranty and limitation of liability terms apply and this Section does not.</w:t>
      </w:r>
    </w:p>
    <w:p>
      <w:pPr>
        <w:tabs>
          <w:tab w:pos="648" w:val="left"/>
        </w:tabs>
        <w:ind w:left="648" w:hanging="648"/>
      </w:pPr>
      <w:r>
        <w:rPr>
          <w:rFonts w:ascii="Open Sans" w:hAnsi="Open Sans" w:cs="Open Sans" w:eastAsia="Open Sans"/>
          <w:b/>
          <w:i w:val="0"/>
          <w:color w:val="4A90A4"/>
          <w:sz w:val="21"/>
        </w:rPr>
        <w:t>10.2</w:t>
        <w:tab/>
      </w:r>
      <w:r>
        <w:rPr>
          <w:rFonts w:ascii="Open Sans" w:hAnsi="Open Sans" w:cs="Open Sans" w:eastAsia="Open Sans"/>
          <w:b w:val="0"/>
          <w:i w:val="0"/>
          <w:color w:val="262626"/>
          <w:sz w:val="21"/>
        </w:rPr>
        <w:t>Otherwise, for 30 days after delivery, Provider warrants that the Work Product will materially conform to Exhibit A. Client's sole remedy is that Provider will correct the non-conformance at no charge within a reasonable time or, if Provider cannot, refund the fee paid for the non-conforming part. Except as stated in this Section and Section 6, Provider provides the Work Product as is and disclaims all other warranties, express or implied, including merchantability, fitness for a particular purpose and non-infringement.</w:t>
      </w:r>
    </w:p>
    <w:p>
      <w:pPr>
        <w:tabs>
          <w:tab w:pos="648" w:val="left"/>
        </w:tabs>
        <w:ind w:left="648" w:hanging="648"/>
      </w:pPr>
      <w:r>
        <w:rPr>
          <w:rFonts w:ascii="Open Sans" w:hAnsi="Open Sans" w:cs="Open Sans" w:eastAsia="Open Sans"/>
          <w:b/>
          <w:i w:val="0"/>
          <w:color w:val="4A90A4"/>
          <w:sz w:val="21"/>
        </w:rPr>
        <w:t>10.3</w:t>
        <w:tab/>
      </w:r>
      <w:r>
        <w:rPr>
          <w:rFonts w:ascii="Open Sans" w:hAnsi="Open Sans" w:cs="Open Sans" w:eastAsia="Open Sans"/>
          <w:b w:val="0"/>
          <w:i w:val="0"/>
          <w:color w:val="262626"/>
          <w:sz w:val="21"/>
        </w:rPr>
        <w:t>Otherwise, Provider will defend Client against any third-party claim that the Work Product, as delivered and used as this Agreement permits, infringes that third party's copyright, trademark or trade secret, and Client will defend Provider against any third-party claim arising from Client Materials or from Client's use of the Work Product in a way this Agreement does not permit. In each case the defending Party pays the damages and costs a court finally awards or a settlement it agrees to, the other Party gives prompt notice and control of the defence, and Provider's defence does not cover Client Materials, third-party components used as their licenses allow, or changes made by anyone other than Provider.</w:t>
      </w:r>
    </w:p>
    <w:p>
      <w:pPr>
        <w:tabs>
          <w:tab w:pos="648" w:val="left"/>
        </w:tabs>
        <w:ind w:left="648" w:hanging="648"/>
      </w:pPr>
      <w:r>
        <w:rPr>
          <w:rFonts w:ascii="Open Sans" w:hAnsi="Open Sans" w:cs="Open Sans" w:eastAsia="Open Sans"/>
          <w:b/>
          <w:i w:val="0"/>
          <w:color w:val="4A90A4"/>
          <w:sz w:val="21"/>
        </w:rPr>
        <w:t>10.4</w:t>
        <w:tab/>
      </w:r>
      <w:r>
        <w:rPr>
          <w:rFonts w:ascii="Open Sans" w:hAnsi="Open Sans" w:cs="Open Sans" w:eastAsia="Open Sans"/>
          <w:b w:val="0"/>
          <w:i w:val="0"/>
          <w:color w:val="262626"/>
          <w:sz w:val="21"/>
        </w:rPr>
        <w:t>Neither Party is liable to the other for indirect, incidental, special, consequential or punitive damages, or for lost profits, revenue, data or business opportunity. Each Party's total liability arising out of this Agreement is limited to the fees paid under it. These limits do not apply to a breach of Section 7, to Client's payment obligations, to a Party's defence obligations under Section 10.3, or to a Party's gross negligence, fraud or willful misconduct.</w:t>
      </w:r>
    </w:p>
    <w:p>
      <w:pPr>
        <w:pStyle w:val="Heading1"/>
      </w:pPr>
      <w:r>
        <w:t>11. Term and Termination</w:t>
      </w:r>
    </w:p>
    <w:p>
      <w:pPr>
        <w:tabs>
          <w:tab w:pos="648" w:val="left"/>
        </w:tabs>
        <w:ind w:left="648" w:hanging="648"/>
      </w:pPr>
      <w:r>
        <w:rPr>
          <w:rFonts w:ascii="Open Sans" w:hAnsi="Open Sans" w:cs="Open Sans" w:eastAsia="Open Sans"/>
          <w:b/>
          <w:i w:val="0"/>
          <w:color w:val="4A90A4"/>
          <w:sz w:val="21"/>
        </w:rPr>
        <w:t>11.1</w:t>
        <w:tab/>
      </w:r>
      <w:r>
        <w:rPr>
          <w:rFonts w:ascii="Open Sans" w:hAnsi="Open Sans" w:cs="Open Sans" w:eastAsia="Open Sans"/>
          <w:b w:val="0"/>
          <w:i w:val="0"/>
          <w:color w:val="262626"/>
          <w:sz w:val="21"/>
        </w:rPr>
        <w:t>This Agreement starts on the Effective Date and ends when the Project is complete and Client has paid in full, unless ended earlier under this Section.</w:t>
      </w:r>
    </w:p>
    <w:p>
      <w:pPr>
        <w:tabs>
          <w:tab w:pos="648" w:val="left"/>
        </w:tabs>
        <w:ind w:left="648" w:hanging="648"/>
      </w:pPr>
      <w:r>
        <w:rPr>
          <w:rFonts w:ascii="Open Sans" w:hAnsi="Open Sans" w:cs="Open Sans" w:eastAsia="Open Sans"/>
          <w:b/>
          <w:i w:val="0"/>
          <w:color w:val="4A90A4"/>
          <w:sz w:val="21"/>
        </w:rPr>
        <w:t>11.2</w:t>
        <w:tab/>
      </w:r>
      <w:r>
        <w:rPr>
          <w:rFonts w:ascii="Open Sans" w:hAnsi="Open Sans" w:cs="Open Sans" w:eastAsia="Open Sans"/>
          <w:b w:val="0"/>
          <w:i w:val="0"/>
          <w:color w:val="262626"/>
          <w:sz w:val="21"/>
        </w:rPr>
        <w:t>Either Party may terminate this Agreement with 14 days' written notice. Client pays for all work performed to the termination date. Section 3 applies to the Work Product completed to that date once that payment is made.</w:t>
      </w:r>
    </w:p>
    <w:p>
      <w:pPr>
        <w:tabs>
          <w:tab w:pos="648" w:val="left"/>
        </w:tabs>
        <w:ind w:left="648" w:hanging="648"/>
      </w:pPr>
      <w:r>
        <w:rPr>
          <w:rFonts w:ascii="Open Sans" w:hAnsi="Open Sans" w:cs="Open Sans" w:eastAsia="Open Sans"/>
          <w:b/>
          <w:i w:val="0"/>
          <w:color w:val="4A90A4"/>
          <w:sz w:val="21"/>
        </w:rPr>
        <w:t>11.3</w:t>
        <w:tab/>
      </w:r>
      <w:r>
        <w:rPr>
          <w:rFonts w:ascii="Open Sans" w:hAnsi="Open Sans" w:cs="Open Sans" w:eastAsia="Open Sans"/>
          <w:b w:val="0"/>
          <w:i w:val="0"/>
          <w:color w:val="262626"/>
          <w:sz w:val="21"/>
        </w:rPr>
        <w:t>Sections 3, 4, 6, 7, 8, 10 and 12 survive termination.</w:t>
      </w:r>
    </w:p>
    <w:p>
      <w:pPr>
        <w:pStyle w:val="Heading1"/>
      </w:pPr>
      <w:r>
        <w:t>12. General</w:t>
      </w:r>
    </w:p>
    <w:p>
      <w:pPr>
        <w:tabs>
          <w:tab w:pos="648" w:val="left"/>
        </w:tabs>
        <w:ind w:left="648" w:hanging="648"/>
      </w:pPr>
      <w:r>
        <w:rPr>
          <w:rFonts w:ascii="Open Sans" w:hAnsi="Open Sans" w:cs="Open Sans" w:eastAsia="Open Sans"/>
          <w:b/>
          <w:i w:val="0"/>
          <w:color w:val="4A90A4"/>
          <w:sz w:val="21"/>
        </w:rPr>
        <w:t>12.1</w:t>
        <w:tab/>
      </w:r>
      <w:r>
        <w:rPr>
          <w:rFonts w:ascii="Open Sans" w:hAnsi="Open Sans" w:cs="Open Sans" w:eastAsia="Open Sans"/>
          <w:b/>
          <w:i w:val="0"/>
          <w:color w:val="262626"/>
          <w:sz w:val="21"/>
        </w:rPr>
        <w:t xml:space="preserve">Governing law and disputes. </w:t>
      </w:r>
      <w:r>
        <w:rPr>
          <w:rFonts w:ascii="Open Sans" w:hAnsi="Open Sans" w:cs="Open Sans" w:eastAsia="Open Sans"/>
          <w:b w:val="0"/>
          <w:i w:val="0"/>
          <w:color w:val="262626"/>
          <w:sz w:val="21"/>
        </w:rPr>
        <w:t>The law of the State of Colorado governs this Agreement. The Parties will first negotiate any dispute in good faith for 30 days, then mediate in Arapahoe County, Colorado or by video conference with a mediator they agree on, sharing the mediator's fees equally. If mediation fails, either Party may bring the dispute in the state or federal courts located in Arapahoe County, Colorado, and each Party submits to their jurisdiction. Either Party may seek an injunction in any court to protect its Confidential Information or intellectual property without first negotiating or mediating. The prevailing Party may recover its reasonable attorneys' fees and costs.</w:t>
      </w:r>
    </w:p>
    <w:p>
      <w:pPr>
        <w:tabs>
          <w:tab w:pos="648" w:val="left"/>
        </w:tabs>
        <w:ind w:left="648" w:hanging="648"/>
      </w:pPr>
      <w:r>
        <w:rPr>
          <w:rFonts w:ascii="Open Sans" w:hAnsi="Open Sans" w:cs="Open Sans" w:eastAsia="Open Sans"/>
          <w:b/>
          <w:i w:val="0"/>
          <w:color w:val="4A90A4"/>
          <w:sz w:val="21"/>
        </w:rPr>
        <w:t>12.2</w:t>
        <w:tab/>
      </w:r>
      <w:r>
        <w:rPr>
          <w:rFonts w:ascii="Open Sans" w:hAnsi="Open Sans" w:cs="Open Sans" w:eastAsia="Open Sans"/>
          <w:b/>
          <w:i w:val="0"/>
          <w:color w:val="262626"/>
          <w:sz w:val="21"/>
        </w:rPr>
        <w:t xml:space="preserve">Notices. </w:t>
      </w:r>
      <w:r>
        <w:rPr>
          <w:rFonts w:ascii="Open Sans" w:hAnsi="Open Sans" w:cs="Open Sans" w:eastAsia="Open Sans"/>
          <w:b w:val="0"/>
          <w:i w:val="0"/>
          <w:color w:val="262626"/>
          <w:sz w:val="21"/>
        </w:rPr>
        <w:t>Notices must be in writing and sent by email to the address in the signature block. A notice of breach or termination must also be sent by courier or certified mail to the notice address in the signature block. Email notice is effective on the next business day after sending, unless the sender receives a delivery failure. A Party may change its notice address by notice under this Section.</w:t>
      </w:r>
    </w:p>
    <w:p>
      <w:pPr>
        <w:tabs>
          <w:tab w:pos="648" w:val="left"/>
        </w:tabs>
        <w:ind w:left="648" w:hanging="648"/>
      </w:pPr>
      <w:r>
        <w:rPr>
          <w:rFonts w:ascii="Open Sans" w:hAnsi="Open Sans" w:cs="Open Sans" w:eastAsia="Open Sans"/>
          <w:b/>
          <w:i w:val="0"/>
          <w:color w:val="4A90A4"/>
          <w:sz w:val="21"/>
        </w:rPr>
        <w:t>12.3</w:t>
        <w:tab/>
      </w:r>
      <w:r>
        <w:rPr>
          <w:rFonts w:ascii="Open Sans" w:hAnsi="Open Sans" w:cs="Open Sans" w:eastAsia="Open Sans"/>
          <w:b/>
          <w:i w:val="0"/>
          <w:color w:val="262626"/>
          <w:sz w:val="21"/>
        </w:rPr>
        <w:t xml:space="preserve">Entire agreement and precedence. </w:t>
      </w:r>
      <w:r>
        <w:rPr>
          <w:rFonts w:ascii="Open Sans" w:hAnsi="Open Sans" w:cs="Open Sans" w:eastAsia="Open Sans"/>
          <w:b w:val="0"/>
          <w:i w:val="0"/>
          <w:color w:val="262626"/>
          <w:sz w:val="21"/>
        </w:rPr>
        <w:t>This Agreement and its Exhibits are the entire agreement between the Parties about ownership of the Work Product. Where a Master Services Agreement or Statement of Work between the Parties also covers the Project, this Agreement controls ownership of the Project's Work Product, and those documents control all other matters.</w:t>
      </w:r>
    </w:p>
    <w:p>
      <w:pPr>
        <w:tabs>
          <w:tab w:pos="648" w:val="left"/>
        </w:tabs>
        <w:ind w:left="648" w:hanging="648"/>
      </w:pPr>
      <w:r>
        <w:rPr>
          <w:rFonts w:ascii="Open Sans" w:hAnsi="Open Sans" w:cs="Open Sans" w:eastAsia="Open Sans"/>
          <w:b/>
          <w:i w:val="0"/>
          <w:color w:val="4A90A4"/>
          <w:sz w:val="21"/>
        </w:rPr>
        <w:t>12.4</w:t>
        <w:tab/>
      </w:r>
      <w:r>
        <w:rPr>
          <w:rFonts w:ascii="Open Sans" w:hAnsi="Open Sans" w:cs="Open Sans" w:eastAsia="Open Sans"/>
          <w:b/>
          <w:i w:val="0"/>
          <w:color w:val="262626"/>
          <w:sz w:val="21"/>
        </w:rPr>
        <w:t xml:space="preserve">Amendment and assignment. </w:t>
      </w:r>
      <w:r>
        <w:rPr>
          <w:rFonts w:ascii="Open Sans" w:hAnsi="Open Sans" w:cs="Open Sans" w:eastAsia="Open Sans"/>
          <w:b w:val="0"/>
          <w:i w:val="0"/>
          <w:color w:val="262626"/>
          <w:sz w:val="21"/>
        </w:rPr>
        <w:t>Changes must be in writing and signed by both Parties. Provider may not assign this Agreement without Client's written consent. Client may assign this Agreement, with the Work Product, to a successor or acquirer of its business on written notice.</w:t>
      </w:r>
    </w:p>
    <w:p>
      <w:pPr>
        <w:tabs>
          <w:tab w:pos="648" w:val="left"/>
        </w:tabs>
        <w:ind w:left="648" w:hanging="648"/>
      </w:pPr>
      <w:r>
        <w:rPr>
          <w:rFonts w:ascii="Open Sans" w:hAnsi="Open Sans" w:cs="Open Sans" w:eastAsia="Open Sans"/>
          <w:b/>
          <w:i w:val="0"/>
          <w:color w:val="4A90A4"/>
          <w:sz w:val="21"/>
        </w:rPr>
        <w:t>12.5</w:t>
        <w:tab/>
      </w:r>
      <w:r>
        <w:rPr>
          <w:rFonts w:ascii="Open Sans" w:hAnsi="Open Sans" w:cs="Open Sans" w:eastAsia="Open Sans"/>
          <w:b/>
          <w:i w:val="0"/>
          <w:color w:val="262626"/>
          <w:sz w:val="21"/>
        </w:rPr>
        <w:t xml:space="preserve">Severability, counterparts and electronic signature. </w:t>
      </w:r>
      <w:r>
        <w:rPr>
          <w:rFonts w:ascii="Open Sans" w:hAnsi="Open Sans" w:cs="Open Sans" w:eastAsia="Open Sans"/>
          <w:b w:val="0"/>
          <w:i w:val="0"/>
          <w:color w:val="262626"/>
          <w:sz w:val="21"/>
        </w:rPr>
        <w:t>If a court finds a term unenforceable, the court will limit it to the minimum extent needed and the rest of this Agreement stays in effect. This Agreement and any document signed under it may be signed in counterparts and electronically. An electronic or scanned signature has the same effect as an original.</w:t>
      </w:r>
    </w:p>
    <w:p>
      <w:pPr>
        <w:tabs>
          <w:tab w:pos="648" w:val="left"/>
        </w:tabs>
        <w:ind w:left="648" w:hanging="648"/>
      </w:pPr>
      <w:r>
        <w:rPr>
          <w:rFonts w:ascii="Open Sans" w:hAnsi="Open Sans" w:cs="Open Sans" w:eastAsia="Open Sans"/>
          <w:b/>
          <w:i w:val="0"/>
          <w:color w:val="4A90A4"/>
          <w:sz w:val="21"/>
        </w:rPr>
        <w:t>12.6</w:t>
        <w:tab/>
      </w:r>
      <w:r>
        <w:rPr>
          <w:rFonts w:ascii="Open Sans" w:hAnsi="Open Sans" w:cs="Open Sans" w:eastAsia="Open Sans"/>
          <w:b/>
          <w:i w:val="0"/>
          <w:color w:val="262626"/>
          <w:sz w:val="21"/>
        </w:rPr>
        <w:t xml:space="preserve">Headings and independent advice. </w:t>
      </w:r>
      <w:r>
        <w:rPr>
          <w:rFonts w:ascii="Open Sans" w:hAnsi="Open Sans" w:cs="Open Sans" w:eastAsia="Open Sans"/>
          <w:b w:val="0"/>
          <w:i w:val="0"/>
          <w:color w:val="262626"/>
          <w:sz w:val="21"/>
        </w:rPr>
        <w:t>Headings are for convenience only and do not affect interpretation. Each Party has had the opportunity to obtain independent legal advice before signing.</w:t>
      </w: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Provider</w:t>
            </w:r>
          </w:p>
        </w:tc>
        <w:tc>
          <w:tcPr>
            <w:tcW w:type="dxa" w:w="4680"/>
            <w:shd w:val="clear" w:color="auto" w:fill="4A90A4"/>
          </w:tcPr>
          <w:p>
            <w:pPr>
              <w:keepNext/>
              <w:spacing w:after="40" w:before="40"/>
            </w:pPr>
            <w:r/>
            <w:r>
              <w:rPr>
                <w:rFonts w:ascii="Open Sans" w:hAnsi="Open Sans" w:cs="Open Sans" w:eastAsia="Open Sans"/>
                <w:b/>
                <w:i w:val="0"/>
                <w:color w:val="FFFFFF"/>
                <w:sz w:val="20"/>
              </w:rPr>
              <w:t>Client</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[Signer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[Signer title]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[Signer email]</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Date: </w:t>
            </w:r>
          </w:p>
        </w:tc>
        <w:tc>
          <w:tcPr>
            <w:tcW w:type="dxa" w:w="4680"/>
          </w:tcPr>
          <w:p>
            <w:pPr>
              <w:keepNext/>
              <w:spacing w:before="40" w:after="40"/>
            </w:pPr>
            <w:r/>
            <w:r>
              <w:rPr>
                <w:rFonts w:ascii="Open Sans" w:hAnsi="Open Sans" w:cs="Open Sans" w:eastAsia="Open Sans"/>
                <w:b/>
                <w:i w:val="0"/>
                <w:color w:val="666666"/>
                <w:sz w:val="18"/>
              </w:rPr>
              <w:t xml:space="preserve">Date: </w:t>
            </w:r>
          </w:p>
        </w:tc>
      </w:tr>
      <w:tr>
        <w:trPr>
          <w:cantSplit/>
        </w:trPr>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[Provider notice address]</w:t>
            </w:r>
          </w:p>
        </w:tc>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[Client notice address]</w:t>
            </w:r>
          </w:p>
        </w:tc>
      </w:tr>
    </w:tbl>
    <w:p/>
    <w:p>
      <w:r>
        <w:br w:type="page"/>
      </w:r>
    </w:p>
    <w:p>
      <w:pPr>
        <w:pStyle w:val="Heading1"/>
      </w:pPr>
      <w:r>
        <w:t>Exhibit A: Project Description</w:t>
      </w:r>
    </w:p>
    <w:p>
      <w:pPr>
        <w:ind w:left="216"/>
        <w:pBdr>
          <w:bottom w:val="single" w:sz="4" w:space="4" w:color="D9E2E6"/>
        </w:pBdr>
      </w:pPr>
      <w:r>
        <w:rPr>
          <w:rFonts w:ascii="Open Sans" w:hAnsi="Open Sans" w:cs="Open Sans" w:eastAsia="Open Sans"/>
          <w:b w:val="0"/>
          <w:i/>
          <w:color w:val="666666"/>
          <w:sz w:val="19"/>
        </w:rPr>
        <w:t>Describe the Project in enough detail that a third party could tell what is and is not Work Product. Where a Statement of Work exists, reference it and attach it rather than repeating it.</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Project name</w:t>
            </w:r>
          </w:p>
        </w:tc>
        <w:tc>
          <w:tcPr>
            <w:tcW w:type="dxa" w:w="6480"/>
          </w:tcPr>
          <w:p>
            <w:pPr>
              <w:spacing w:after="40" w:before="40"/>
            </w:pPr>
            <w:r/>
            <w:r>
              <w:rPr>
                <w:rFonts w:ascii="Open Sans" w:hAnsi="Open Sans" w:cs="Open Sans" w:eastAsia="Open Sans"/>
                <w:b/>
                <w:i w:val="0"/>
                <w:color w:val="B87333"/>
                <w:sz w:val="19"/>
              </w:rPr>
              <w:t>[Project name]</w:t>
            </w:r>
          </w:p>
        </w:tc>
      </w:tr>
      <w:tr>
        <w:tc>
          <w:tcPr>
            <w:tcW w:type="dxa" w:w="2880"/>
            <w:shd w:val="clear" w:color="auto" w:fill="F3F6F7"/>
          </w:tcPr>
          <w:p>
            <w:pPr>
              <w:spacing w:after="40" w:before="40"/>
            </w:pPr>
            <w:r/>
            <w:r>
              <w:rPr>
                <w:rFonts w:ascii="Open Sans" w:hAnsi="Open Sans" w:cs="Open Sans" w:eastAsia="Open Sans"/>
                <w:b/>
                <w:i w:val="0"/>
                <w:color w:val="262626"/>
                <w:sz w:val="19"/>
              </w:rPr>
              <w:t>Related SOW or proposal</w:t>
            </w:r>
          </w:p>
        </w:tc>
        <w:tc>
          <w:tcPr>
            <w:tcW w:type="dxa" w:w="6480"/>
          </w:tcPr>
          <w:p>
            <w:pPr>
              <w:spacing w:after="40" w:before="40"/>
            </w:pPr>
            <w:r/>
            <w:r>
              <w:rPr>
                <w:rFonts w:ascii="Open Sans" w:hAnsi="Open Sans" w:cs="Open Sans" w:eastAsia="Open Sans"/>
                <w:b/>
                <w:i w:val="0"/>
                <w:color w:val="B87333"/>
                <w:sz w:val="19"/>
              </w:rPr>
              <w:t>[SOW-YYYY-NN, or proposal dated Month DD, YYYY, or None]</w:t>
            </w:r>
          </w:p>
        </w:tc>
      </w:tr>
      <w:tr>
        <w:tc>
          <w:tcPr>
            <w:tcW w:type="dxa" w:w="2880"/>
            <w:shd w:val="clear" w:color="auto" w:fill="F3F6F7"/>
          </w:tcPr>
          <w:p>
            <w:pPr>
              <w:spacing w:after="40" w:before="40"/>
            </w:pPr>
            <w:r/>
            <w:r>
              <w:rPr>
                <w:rFonts w:ascii="Open Sans" w:hAnsi="Open Sans" w:cs="Open Sans" w:eastAsia="Open Sans"/>
                <w:b/>
                <w:i w:val="0"/>
                <w:color w:val="262626"/>
                <w:sz w:val="19"/>
              </w:rPr>
              <w:t>Description</w:t>
            </w:r>
          </w:p>
        </w:tc>
        <w:tc>
          <w:tcPr>
            <w:tcW w:type="dxa" w:w="6480"/>
          </w:tcPr>
          <w:p>
            <w:pPr>
              <w:spacing w:after="40" w:before="40"/>
            </w:pPr>
            <w:r/>
            <w:r>
              <w:rPr>
                <w:rFonts w:ascii="Open Sans" w:hAnsi="Open Sans" w:cs="Open Sans" w:eastAsia="Open Sans"/>
                <w:b/>
                <w:i w:val="0"/>
                <w:color w:val="B87333"/>
                <w:sz w:val="19"/>
              </w:rPr>
              <w:t>[What Provider will create, for what purpose, on which platforms]</w:t>
            </w:r>
          </w:p>
        </w:tc>
      </w:tr>
      <w:tr>
        <w:tc>
          <w:tcPr>
            <w:tcW w:type="dxa" w:w="2880"/>
            <w:shd w:val="clear" w:color="auto" w:fill="F3F6F7"/>
          </w:tcPr>
          <w:p>
            <w:pPr>
              <w:spacing w:after="40" w:before="40"/>
            </w:pPr>
            <w:r/>
            <w:r>
              <w:rPr>
                <w:rFonts w:ascii="Open Sans" w:hAnsi="Open Sans" w:cs="Open Sans" w:eastAsia="Open Sans"/>
                <w:b/>
                <w:i w:val="0"/>
                <w:color w:val="262626"/>
                <w:sz w:val="19"/>
              </w:rPr>
              <w:t>Delivery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Total fee (USD)</w:t>
            </w:r>
          </w:p>
        </w:tc>
        <w:tc>
          <w:tcPr>
            <w:tcW w:type="dxa" w:w="6480"/>
          </w:tcPr>
          <w:p>
            <w:pPr>
              <w:spacing w:after="40" w:before="40"/>
            </w:pPr>
            <w:r/>
            <w:r>
              <w:rPr>
                <w:rFonts w:ascii="Open Sans" w:hAnsi="Open Sans" w:cs="Open Sans" w:eastAsia="Open Sans"/>
                <w:b/>
                <w:i w:val="0"/>
                <w:color w:val="B87333"/>
                <w:sz w:val="19"/>
              </w:rPr>
              <w:t>[Amount]</w:t>
            </w:r>
          </w:p>
        </w:tc>
      </w:tr>
      <w:tr>
        <w:tc>
          <w:tcPr>
            <w:tcW w:type="dxa" w:w="2880"/>
            <w:shd w:val="clear" w:color="auto" w:fill="F3F6F7"/>
          </w:tcPr>
          <w:p>
            <w:pPr>
              <w:spacing w:after="40" w:before="40"/>
            </w:pPr>
            <w:r/>
            <w:r>
              <w:rPr>
                <w:rFonts w:ascii="Open Sans" w:hAnsi="Open Sans" w:cs="Open Sans" w:eastAsia="Open Sans"/>
                <w:b/>
                <w:i w:val="0"/>
                <w:color w:val="262626"/>
                <w:sz w:val="19"/>
              </w:rPr>
              <w:t>Payment schedule</w:t>
            </w:r>
          </w:p>
        </w:tc>
        <w:tc>
          <w:tcPr>
            <w:tcW w:type="dxa" w:w="6480"/>
          </w:tcPr>
          <w:p>
            <w:pPr>
              <w:spacing w:after="40" w:before="40"/>
            </w:pPr>
            <w:r/>
            <w:r>
              <w:rPr>
                <w:rFonts w:ascii="Open Sans" w:hAnsi="Open Sans" w:cs="Open Sans" w:eastAsia="Open Sans"/>
                <w:b/>
                <w:i w:val="0"/>
                <w:color w:val="B87333"/>
                <w:sz w:val="19"/>
              </w:rPr>
              <w:t>[50% on signing, 50% on delivery, or per the SOW]</w:t>
            </w:r>
          </w:p>
        </w:tc>
      </w:tr>
    </w:tbl>
    <w:p>
      <w:pPr>
        <w:spacing w:after="40"/>
      </w:pPr>
    </w:p>
    <w:p>
      <w:pPr>
        <w:pStyle w:val="Heading2"/>
      </w:pPr>
      <w:r>
        <w:t>Deliverables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720"/>
            <w:shd w:val="clear" w:color="auto" w:fill="4A90A4"/>
          </w:tcPr>
          <w:p>
            <w:pPr>
              <w:spacing w:after="40" w:before="40"/>
            </w:pPr>
            <w:r/>
            <w:r>
              <w:rPr>
                <w:rFonts w:ascii="Open Sans" w:hAnsi="Open Sans" w:cs="Open Sans" w:eastAsia="Open Sans"/>
                <w:b/>
                <w:i w:val="0"/>
                <w:color w:val="FFFFFF"/>
                <w:sz w:val="18"/>
              </w:rPr>
              <w:t>No.</w:t>
            </w:r>
          </w:p>
        </w:tc>
        <w:tc>
          <w:tcPr>
            <w:tcW w:type="dxa" w:w="2880"/>
            <w:shd w:val="clear" w:color="auto" w:fill="4A90A4"/>
          </w:tcPr>
          <w:p>
            <w:pPr>
              <w:spacing w:after="40" w:before="40"/>
            </w:pPr>
            <w:r/>
            <w:r>
              <w:rPr>
                <w:rFonts w:ascii="Open Sans" w:hAnsi="Open Sans" w:cs="Open Sans" w:eastAsia="Open Sans"/>
                <w:b/>
                <w:i w:val="0"/>
                <w:color w:val="FFFFFF"/>
                <w:sz w:val="18"/>
              </w:rPr>
              <w:t>Deliverable</w:t>
            </w:r>
          </w:p>
        </w:tc>
        <w:tc>
          <w:tcPr>
            <w:tcW w:type="dxa" w:w="4320"/>
            <w:shd w:val="clear" w:color="auto" w:fill="4A90A4"/>
          </w:tcPr>
          <w:p>
            <w:pPr>
              <w:spacing w:after="40" w:before="40"/>
            </w:pPr>
            <w:r/>
            <w:r>
              <w:rPr>
                <w:rFonts w:ascii="Open Sans" w:hAnsi="Open Sans" w:cs="Open Sans" w:eastAsia="Open Sans"/>
                <w:b/>
                <w:i w:val="0"/>
                <w:color w:val="FFFFFF"/>
                <w:sz w:val="18"/>
              </w:rPr>
              <w:t>Description</w:t>
            </w:r>
          </w:p>
        </w:tc>
        <w:tc>
          <w:tcPr>
            <w:tcW w:type="dxa" w:w="1440"/>
            <w:shd w:val="clear" w:color="auto" w:fill="4A90A4"/>
          </w:tcPr>
          <w:p>
            <w:pPr>
              <w:spacing w:after="40" w:before="40"/>
            </w:pPr>
            <w:r/>
            <w:r>
              <w:rPr>
                <w:rFonts w:ascii="Open Sans" w:hAnsi="Open Sans" w:cs="Open Sans" w:eastAsia="Open Sans"/>
                <w:b/>
                <w:i w:val="0"/>
                <w:color w:val="FFFFFF"/>
                <w:sz w:val="18"/>
              </w:rPr>
              <w:t>Delivery date</w:t>
            </w:r>
          </w:p>
        </w:tc>
      </w:tr>
      <w:tr>
        <w:tc>
          <w:tcPr>
            <w:tcW w:type="dxa" w:w="720"/>
          </w:tcPr>
          <w:p>
            <w:pPr>
              <w:spacing w:after="40" w:before="40"/>
            </w:pPr>
            <w:r/>
          </w:p>
        </w:tc>
        <w:tc>
          <w:tcPr>
            <w:tcW w:type="dxa" w:w="2880"/>
          </w:tcPr>
          <w:p>
            <w:pPr>
              <w:spacing w:after="40" w:before="40"/>
            </w:pPr>
            <w:r/>
          </w:p>
        </w:tc>
        <w:tc>
          <w:tcPr>
            <w:tcW w:type="dxa" w:w="4320"/>
          </w:tcPr>
          <w:p>
            <w:pPr>
              <w:spacing w:after="40" w:before="40"/>
            </w:pPr>
            <w:r/>
          </w:p>
        </w:tc>
        <w:tc>
          <w:tcPr>
            <w:tcW w:type="dxa" w:w="1440"/>
          </w:tcPr>
          <w:p>
            <w:pPr>
              <w:spacing w:after="40" w:before="40"/>
            </w:pPr>
            <w:r/>
          </w:p>
        </w:tc>
      </w:tr>
      <w:tr>
        <w:tc>
          <w:tcPr>
            <w:tcW w:type="dxa" w:w="720"/>
          </w:tcPr>
          <w:p>
            <w:pPr>
              <w:spacing w:after="40" w:before="40"/>
            </w:pPr>
            <w:r/>
          </w:p>
        </w:tc>
        <w:tc>
          <w:tcPr>
            <w:tcW w:type="dxa" w:w="2880"/>
          </w:tcPr>
          <w:p>
            <w:pPr>
              <w:spacing w:after="40" w:before="40"/>
            </w:pPr>
            <w:r/>
          </w:p>
        </w:tc>
        <w:tc>
          <w:tcPr>
            <w:tcW w:type="dxa" w:w="4320"/>
          </w:tcPr>
          <w:p>
            <w:pPr>
              <w:spacing w:after="40" w:before="40"/>
            </w:pPr>
            <w:r/>
          </w:p>
        </w:tc>
        <w:tc>
          <w:tcPr>
            <w:tcW w:type="dxa" w:w="1440"/>
          </w:tcPr>
          <w:p>
            <w:pPr>
              <w:spacing w:after="40" w:before="40"/>
            </w:pPr>
            <w:r/>
          </w:p>
        </w:tc>
      </w:tr>
      <w:tr>
        <w:tc>
          <w:tcPr>
            <w:tcW w:type="dxa" w:w="720"/>
          </w:tcPr>
          <w:p>
            <w:pPr>
              <w:spacing w:after="40" w:before="40"/>
            </w:pPr>
            <w:r/>
          </w:p>
        </w:tc>
        <w:tc>
          <w:tcPr>
            <w:tcW w:type="dxa" w:w="2880"/>
          </w:tcPr>
          <w:p>
            <w:pPr>
              <w:spacing w:after="40" w:before="40"/>
            </w:pPr>
            <w:r/>
          </w:p>
        </w:tc>
        <w:tc>
          <w:tcPr>
            <w:tcW w:type="dxa" w:w="4320"/>
          </w:tcPr>
          <w:p>
            <w:pPr>
              <w:spacing w:after="40" w:before="40"/>
            </w:pPr>
            <w:r/>
          </w:p>
        </w:tc>
        <w:tc>
          <w:tcPr>
            <w:tcW w:type="dxa" w:w="1440"/>
          </w:tcPr>
          <w:p>
            <w:pPr>
              <w:spacing w:after="40" w:before="40"/>
            </w:pPr>
            <w:r/>
          </w:p>
        </w:tc>
      </w:tr>
    </w:tbl>
    <w:p>
      <w:pPr>
        <w:spacing w:after="40"/>
      </w:pPr>
    </w:p>
    <w:p>
      <w:r>
        <w:br w:type="page"/>
      </w:r>
    </w:p>
    <w:p>
      <w:pPr>
        <w:pStyle w:val="Heading1"/>
      </w:pPr>
      <w:r>
        <w:t>Exhibit B: Provider Background IP</w:t>
      </w:r>
    </w:p>
    <w:p>
      <w:pPr>
        <w:ind w:left="216"/>
        <w:pBdr>
          <w:bottom w:val="single" w:sz="4" w:space="4" w:color="D9E2E6"/>
        </w:pBdr>
      </w:pPr>
      <w:r>
        <w:rPr>
          <w:rFonts w:ascii="Open Sans" w:hAnsi="Open Sans" w:cs="Open Sans" w:eastAsia="Open Sans"/>
          <w:b w:val="0"/>
          <w:i/>
          <w:color w:val="666666"/>
          <w:sz w:val="19"/>
        </w:rPr>
        <w:t>List every item of Provider Background IP expected to be incorporated in the Work Product. This schedule is mandatory. If nothing applies, write NONE in the first row. The example rows are Provider's usual reusable assets and must be edited before sending.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trPr>
        <w:tc>
          <w:tcPr>
            <w:tcW w:type="dxa" w:w="2304"/>
            <w:shd w:val="clear" w:color="auto" w:fill="4A90A4"/>
          </w:tcPr>
          <w:p>
            <w:pPr>
              <w:spacing w:after="40" w:before="40"/>
            </w:pPr>
            <w:r/>
            <w:r>
              <w:rPr>
                <w:rFonts w:ascii="Open Sans" w:hAnsi="Open Sans" w:cs="Open Sans" w:eastAsia="Open Sans"/>
                <w:b/>
                <w:i w:val="0"/>
                <w:color w:val="FFFFFF"/>
                <w:sz w:val="18"/>
              </w:rPr>
              <w:t>Item</w:t>
            </w:r>
          </w:p>
        </w:tc>
        <w:tc>
          <w:tcPr>
            <w:tcW w:type="dxa" w:w="3744"/>
            <w:shd w:val="clear" w:color="auto" w:fill="4A90A4"/>
          </w:tcPr>
          <w:p>
            <w:pPr>
              <w:spacing w:after="40" w:before="40"/>
            </w:pPr>
            <w:r/>
            <w:r>
              <w:rPr>
                <w:rFonts w:ascii="Open Sans" w:hAnsi="Open Sans" w:cs="Open Sans" w:eastAsia="Open Sans"/>
                <w:b/>
                <w:i w:val="0"/>
                <w:color w:val="FFFFFF"/>
                <w:sz w:val="18"/>
              </w:rPr>
              <w:t>Description</w:t>
            </w:r>
          </w:p>
        </w:tc>
        <w:tc>
          <w:tcPr>
            <w:tcW w:type="dxa" w:w="2016"/>
            <w:shd w:val="clear" w:color="auto" w:fill="4A90A4"/>
          </w:tcPr>
          <w:p>
            <w:pPr>
              <w:spacing w:after="40" w:before="40"/>
            </w:pPr>
            <w:r/>
            <w:r>
              <w:rPr>
                <w:rFonts w:ascii="Open Sans" w:hAnsi="Open Sans" w:cs="Open Sans" w:eastAsia="Open Sans"/>
                <w:b/>
                <w:i w:val="0"/>
                <w:color w:val="FFFFFF"/>
                <w:sz w:val="18"/>
              </w:rPr>
              <w:t>Where it is used</w:t>
            </w:r>
          </w:p>
        </w:tc>
        <w:tc>
          <w:tcPr>
            <w:tcW w:type="dxa" w:w="1296"/>
            <w:shd w:val="clear" w:color="auto" w:fill="4A90A4"/>
          </w:tcPr>
          <w:p>
            <w:pPr>
              <w:spacing w:after="40" w:before="40"/>
            </w:pPr>
            <w:r/>
            <w:r>
              <w:rPr>
                <w:rFonts w:ascii="Open Sans" w:hAnsi="Open Sans" w:cs="Open Sans" w:eastAsia="Open Sans"/>
                <w:b/>
                <w:i w:val="0"/>
                <w:color w:val="FFFFFF"/>
                <w:sz w:val="18"/>
              </w:rPr>
              <w:t>License to Client</w:t>
            </w:r>
          </w:p>
        </w:tc>
      </w:tr>
      <w:tr>
        <w:tc>
          <w:tcPr>
            <w:tcW w:type="dxa" w:w="2304"/>
          </w:tcPr>
          <w:p>
            <w:pPr>
              <w:spacing w:after="40" w:before="40"/>
            </w:pPr>
            <w:r/>
            <w:r>
              <w:rPr>
                <w:rFonts w:ascii="Open Sans" w:hAnsi="Open Sans" w:cs="Open Sans" w:eastAsia="Open Sans"/>
                <w:b w:val="0"/>
                <w:i w:val="0"/>
                <w:color w:val="262626"/>
                <w:sz w:val="18"/>
              </w:rPr>
              <w:t>n8n workflow library</w:t>
            </w:r>
          </w:p>
        </w:tc>
        <w:tc>
          <w:tcPr>
            <w:tcW w:type="dxa" w:w="3744"/>
          </w:tcPr>
          <w:p>
            <w:pPr>
              <w:spacing w:after="40" w:before="40"/>
            </w:pPr>
            <w:r/>
            <w:r>
              <w:rPr>
                <w:rFonts w:ascii="Open Sans" w:hAnsi="Open Sans" w:cs="Open Sans" w:eastAsia="Open Sans"/>
                <w:b w:val="0"/>
                <w:i w:val="0"/>
                <w:color w:val="262626"/>
                <w:sz w:val="18"/>
              </w:rPr>
              <w:t>Reusable sub-workflows and patterns for error handling, notification, deduplication and scheduling</w:t>
            </w:r>
          </w:p>
        </w:tc>
        <w:tc>
          <w:tcPr>
            <w:tcW w:type="dxa" w:w="2016"/>
          </w:tcPr>
          <w:p>
            <w:pPr>
              <w:spacing w:after="40" w:before="40"/>
            </w:pPr>
            <w:r/>
            <w:r>
              <w:rPr>
                <w:rFonts w:ascii="Open Sans" w:hAnsi="Open Sans" w:cs="Open Sans" w:eastAsia="Open Sans"/>
                <w:b w:val="0"/>
                <w:i w:val="0"/>
                <w:color w:val="262626"/>
                <w:sz w:val="18"/>
              </w:rPr>
              <w:t>Automation deliverables</w:t>
            </w:r>
          </w:p>
        </w:tc>
        <w:tc>
          <w:tcPr>
            <w:tcW w:type="dxa" w:w="1296"/>
          </w:tcPr>
          <w:p>
            <w:pPr>
              <w:spacing w:after="40" w:before="40"/>
            </w:pPr>
            <w:r/>
            <w:r>
              <w:rPr>
                <w:rFonts w:ascii="Open Sans" w:hAnsi="Open Sans" w:cs="Open Sans" w:eastAsia="Open Sans"/>
                <w:b w:val="0"/>
                <w:i w:val="0"/>
                <w:color w:val="262626"/>
                <w:sz w:val="18"/>
              </w:rPr>
              <w:t>Section 4.2</w:t>
            </w:r>
          </w:p>
        </w:tc>
      </w:tr>
      <w:tr>
        <w:tc>
          <w:tcPr>
            <w:tcW w:type="dxa" w:w="2304"/>
          </w:tcPr>
          <w:p>
            <w:pPr>
              <w:spacing w:after="40" w:before="40"/>
            </w:pPr>
            <w:r/>
            <w:r>
              <w:rPr>
                <w:rFonts w:ascii="Open Sans" w:hAnsi="Open Sans" w:cs="Open Sans" w:eastAsia="Open Sans"/>
                <w:b w:val="0"/>
                <w:i w:val="0"/>
                <w:color w:val="262626"/>
                <w:sz w:val="18"/>
              </w:rPr>
              <w:t>Web starter and components</w:t>
            </w:r>
          </w:p>
        </w:tc>
        <w:tc>
          <w:tcPr>
            <w:tcW w:type="dxa" w:w="3744"/>
          </w:tcPr>
          <w:p>
            <w:pPr>
              <w:spacing w:after="40" w:before="40"/>
            </w:pPr>
            <w:r/>
            <w:r>
              <w:rPr>
                <w:rFonts w:ascii="Open Sans" w:hAnsi="Open Sans" w:cs="Open Sans" w:eastAsia="Open Sans"/>
                <w:b w:val="0"/>
                <w:i w:val="0"/>
                <w:color w:val="262626"/>
                <w:sz w:val="18"/>
              </w:rPr>
              <w:t>Next.js site starter, layout components, design tokens, forms and deployment configuration</w:t>
            </w:r>
          </w:p>
        </w:tc>
        <w:tc>
          <w:tcPr>
            <w:tcW w:type="dxa" w:w="2016"/>
          </w:tcPr>
          <w:p>
            <w:pPr>
              <w:spacing w:after="40" w:before="40"/>
            </w:pPr>
            <w:r/>
            <w:r>
              <w:rPr>
                <w:rFonts w:ascii="Open Sans" w:hAnsi="Open Sans" w:cs="Open Sans" w:eastAsia="Open Sans"/>
                <w:b w:val="0"/>
                <w:i w:val="0"/>
                <w:color w:val="262626"/>
                <w:sz w:val="18"/>
              </w:rPr>
              <w:t>Website deliverables</w:t>
            </w:r>
          </w:p>
        </w:tc>
        <w:tc>
          <w:tcPr>
            <w:tcW w:type="dxa" w:w="1296"/>
          </w:tcPr>
          <w:p>
            <w:pPr>
              <w:spacing w:after="40" w:before="40"/>
            </w:pPr>
            <w:r/>
            <w:r>
              <w:rPr>
                <w:rFonts w:ascii="Open Sans" w:hAnsi="Open Sans" w:cs="Open Sans" w:eastAsia="Open Sans"/>
                <w:b w:val="0"/>
                <w:i w:val="0"/>
                <w:color w:val="262626"/>
                <w:sz w:val="18"/>
              </w:rPr>
              <w:t>Section 4.2</w:t>
            </w:r>
          </w:p>
        </w:tc>
      </w:tr>
      <w:tr>
        <w:tc>
          <w:tcPr>
            <w:tcW w:type="dxa" w:w="2304"/>
          </w:tcPr>
          <w:p>
            <w:pPr>
              <w:spacing w:after="40" w:before="40"/>
            </w:pPr>
            <w:r/>
            <w:r>
              <w:rPr>
                <w:rFonts w:ascii="Open Sans" w:hAnsi="Open Sans" w:cs="Open Sans" w:eastAsia="Open Sans"/>
                <w:b w:val="0"/>
                <w:i w:val="0"/>
                <w:color w:val="262626"/>
                <w:sz w:val="18"/>
              </w:rPr>
              <w:t>Luwah accessibility toolkit</w:t>
            </w:r>
          </w:p>
        </w:tc>
        <w:tc>
          <w:tcPr>
            <w:tcW w:type="dxa" w:w="3744"/>
          </w:tcPr>
          <w:p>
            <w:pPr>
              <w:spacing w:after="40" w:before="40"/>
            </w:pPr>
            <w:r/>
            <w:r>
              <w:rPr>
                <w:rFonts w:ascii="Open Sans" w:hAnsi="Open Sans" w:cs="Open Sans" w:eastAsia="Open Sans"/>
                <w:b w:val="0"/>
                <w:i w:val="0"/>
                <w:color w:val="262626"/>
                <w:sz w:val="18"/>
              </w:rPr>
              <w:t>Accessibility launcher and panel, disability profiles, adjustments, reading overlays, page-structure navigator, issue report form, statement seed content and the supporting code and styles. Licensed to the delivered website only, Section 4.5</w:t>
            </w:r>
          </w:p>
        </w:tc>
        <w:tc>
          <w:tcPr>
            <w:tcW w:type="dxa" w:w="2016"/>
          </w:tcPr>
          <w:p>
            <w:pPr>
              <w:spacing w:after="40" w:before="40"/>
            </w:pPr>
            <w:r/>
            <w:r>
              <w:rPr>
                <w:rFonts w:ascii="Open Sans" w:hAnsi="Open Sans" w:cs="Open Sans" w:eastAsia="Open Sans"/>
                <w:b w:val="0"/>
                <w:i w:val="0"/>
                <w:color w:val="262626"/>
                <w:sz w:val="18"/>
              </w:rPr>
              <w:t>Website deliverables</w:t>
            </w:r>
          </w:p>
        </w:tc>
        <w:tc>
          <w:tcPr>
            <w:tcW w:type="dxa" w:w="1296"/>
          </w:tcPr>
          <w:p>
            <w:pPr>
              <w:spacing w:after="40" w:before="40"/>
            </w:pPr>
            <w:r/>
            <w:r>
              <w:rPr>
                <w:rFonts w:ascii="Open Sans" w:hAnsi="Open Sans" w:cs="Open Sans" w:eastAsia="Open Sans"/>
                <w:b w:val="0"/>
                <w:i w:val="0"/>
                <w:color w:val="262626"/>
                <w:sz w:val="18"/>
              </w:rPr>
              <w:t>Section 4.2</w:t>
            </w:r>
          </w:p>
        </w:tc>
      </w:tr>
      <w:tr>
        <w:tc>
          <w:tcPr>
            <w:tcW w:type="dxa" w:w="2304"/>
          </w:tcPr>
          <w:p>
            <w:pPr>
              <w:spacing w:after="40" w:before="40"/>
            </w:pPr>
            <w:r/>
            <w:r>
              <w:rPr>
                <w:rFonts w:ascii="Open Sans" w:hAnsi="Open Sans" w:cs="Open Sans" w:eastAsia="Open Sans"/>
                <w:b w:val="0"/>
                <w:i w:val="0"/>
                <w:color w:val="262626"/>
                <w:sz w:val="18"/>
              </w:rPr>
              <w:t>Operations scripts</w:t>
            </w:r>
          </w:p>
        </w:tc>
        <w:tc>
          <w:tcPr>
            <w:tcW w:type="dxa" w:w="3744"/>
          </w:tcPr>
          <w:p>
            <w:pPr>
              <w:spacing w:after="40" w:before="40"/>
            </w:pPr>
            <w:r/>
            <w:r>
              <w:rPr>
                <w:rFonts w:ascii="Open Sans" w:hAnsi="Open Sans" w:cs="Open Sans" w:eastAsia="Open Sans"/>
                <w:b w:val="0"/>
                <w:i w:val="0"/>
                <w:color w:val="262626"/>
                <w:sz w:val="18"/>
              </w:rPr>
              <w:t>Backup, monitoring, deployment and health-check scripts and templates</w:t>
            </w:r>
          </w:p>
        </w:tc>
        <w:tc>
          <w:tcPr>
            <w:tcW w:type="dxa" w:w="2016"/>
          </w:tcPr>
          <w:p>
            <w:pPr>
              <w:spacing w:after="40" w:before="40"/>
            </w:pPr>
            <w:r/>
            <w:r>
              <w:rPr>
                <w:rFonts w:ascii="Open Sans" w:hAnsi="Open Sans" w:cs="Open Sans" w:eastAsia="Open Sans"/>
                <w:b w:val="0"/>
                <w:i w:val="0"/>
                <w:color w:val="262626"/>
                <w:sz w:val="18"/>
              </w:rPr>
              <w:t>Hosting and maintenance deliverables</w:t>
            </w:r>
          </w:p>
        </w:tc>
        <w:tc>
          <w:tcPr>
            <w:tcW w:type="dxa" w:w="1296"/>
          </w:tcPr>
          <w:p>
            <w:pPr>
              <w:spacing w:after="40" w:before="40"/>
            </w:pPr>
            <w:r/>
            <w:r>
              <w:rPr>
                <w:rFonts w:ascii="Open Sans" w:hAnsi="Open Sans" w:cs="Open Sans" w:eastAsia="Open Sans"/>
                <w:b w:val="0"/>
                <w:i w:val="0"/>
                <w:color w:val="262626"/>
                <w:sz w:val="18"/>
              </w:rPr>
              <w:t>Section 4.2</w:t>
            </w:r>
          </w:p>
        </w:tc>
      </w:tr>
      <w:tr>
        <w:tc>
          <w:tcPr>
            <w:tcW w:type="dxa" w:w="2304"/>
          </w:tcPr>
          <w:p>
            <w:pPr>
              <w:spacing w:after="40" w:before="40"/>
            </w:pPr>
            <w:r/>
            <w:r>
              <w:rPr>
                <w:rFonts w:ascii="Open Sans" w:hAnsi="Open Sans" w:cs="Open Sans" w:eastAsia="Open Sans"/>
                <w:b/>
                <w:i w:val="0"/>
                <w:color w:val="B87333"/>
                <w:sz w:val="18"/>
              </w:rPr>
              <w:t>[Item]</w:t>
            </w:r>
          </w:p>
        </w:tc>
        <w:tc>
          <w:tcPr>
            <w:tcW w:type="dxa" w:w="3744"/>
          </w:tcPr>
          <w:p>
            <w:pPr>
              <w:spacing w:after="40" w:before="40"/>
            </w:pPr>
            <w:r/>
            <w:r>
              <w:rPr>
                <w:rFonts w:ascii="Open Sans" w:hAnsi="Open Sans" w:cs="Open Sans" w:eastAsia="Open Sans"/>
                <w:b/>
                <w:i w:val="0"/>
                <w:color w:val="B87333"/>
                <w:sz w:val="18"/>
              </w:rPr>
              <w:t>[Description]</w:t>
            </w:r>
          </w:p>
        </w:tc>
        <w:tc>
          <w:tcPr>
            <w:tcW w:type="dxa" w:w="2016"/>
          </w:tcPr>
          <w:p>
            <w:pPr>
              <w:spacing w:after="40" w:before="40"/>
            </w:pPr>
            <w:r/>
            <w:r>
              <w:rPr>
                <w:rFonts w:ascii="Open Sans" w:hAnsi="Open Sans" w:cs="Open Sans" w:eastAsia="Open Sans"/>
                <w:b/>
                <w:i w:val="0"/>
                <w:color w:val="B87333"/>
                <w:sz w:val="18"/>
              </w:rPr>
              <w:t>[Where used]</w:t>
            </w:r>
          </w:p>
        </w:tc>
        <w:tc>
          <w:tcPr>
            <w:tcW w:type="dxa" w:w="1296"/>
          </w:tcPr>
          <w:p>
            <w:pPr>
              <w:spacing w:after="40" w:before="40"/>
            </w:pPr>
            <w:r/>
            <w:r>
              <w:rPr>
                <w:rFonts w:ascii="Open Sans" w:hAnsi="Open Sans" w:cs="Open Sans" w:eastAsia="Open Sans"/>
                <w:b w:val="0"/>
                <w:i w:val="0"/>
                <w:color w:val="262626"/>
                <w:sz w:val="18"/>
              </w:rPr>
              <w:t>Section 4.2</w:t>
            </w:r>
          </w:p>
        </w:tc>
      </w:tr>
    </w:tbl>
    <w:p>
      <w:pPr>
        <w:spacing w:after="40"/>
      </w:pPr>
    </w:p>
    <w:sectPr w:rsidR="00FC693F" w:rsidRPr="0006063C" w:rsidSect="00034616">
      <w:headerReference w:type="default" r:id="rId9"/>
      <w:footerReference w:type="default" r:id="rId10"/>
      <w:pgSz w:w="12240" w:h="15840"/>
      <w:pgMar w:top="1584" w:right="1440" w:bottom="1296" w:left="144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Open Sans" w:hAnsi="Open Sans" w:cs="Open Sans" w:eastAsia="Open Sans"/>
        <w:b w:val="0"/>
        <w:color w:val="666666"/>
        <w:sz w:val="15"/>
      </w:rPr>
      <w:t>Luwah Technologies LLC  |  Aurora, Colorado 80017  |  hello@luwahtechnologies.com  |  +1 (720) 421-7184  |  luwahtechnologies.com</w:t>
    </w:r>
  </w:p>
  <w:p>
    <w:pPr>
      <w:spacing w:after="0"/>
      <w:jc w:val="center"/>
    </w:pPr>
    <w:r>
      <w:rPr>
        <w:rFonts w:ascii="Open Sans" w:hAnsi="Open Sans" w:cs="Open Sans" w:eastAsia="Open Sans"/>
        <w:b w:val="0"/>
        <w:color w:val="666666"/>
        <w:sz w:val="15"/>
      </w:rPr>
      <w:t xml:space="preserve">Where Simplicity Meets Innovation  |  Page </w:t>
    </w:r>
    <w:r>
      <w:rPr>
        <w:rFonts w:ascii="Open Sans" w:hAnsi="Open Sans" w:cs="Open Sans" w:eastAsia="Open Sans"/>
        <w:b w:val="0"/>
        <w:color w:val="666666"/>
        <w:sz w:val="15"/>
      </w:rPr>
      <w:fldChar w:fldCharType="begin"/>
      <w:instrText xml:space="preserve">PAGE</w:instrText>
      <w:fldChar w:fldCharType="separate"/>
      <w:t>1</w:t>
      <w:fldChar w:fldCharType="end"/>
    </w:r>
    <w:r>
      <w:rPr>
        <w:rFonts w:ascii="Open Sans" w:hAnsi="Open Sans" w:cs="Open Sans" w:eastAsia="Open Sans"/>
        <w:b w:val="0"/>
        <w:color w:val="666666"/>
        <w:sz w:val="15"/>
      </w:rPr>
      <w:t xml:space="preserve"> of </w:t>
    </w:r>
    <w:r>
      <w:rPr>
        <w:rFonts w:ascii="Open Sans" w:hAnsi="Open Sans" w:cs="Open Sans" w:eastAsia="Open Sans"/>
        <w:b w:val="0"/>
        <w:color w:val="666666"/>
        <w:sz w:val="15"/>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80"/>
      <w:pBdr>
        <w:bottom w:val="single" w:sz="6" w:space="4" w:color="4A90A4"/>
      </w:pBdr>
    </w:pPr>
    <w:r>
      <w:drawing>
        <wp:inline xmlns:a="http://schemas.openxmlformats.org/drawingml/2006/main" xmlns:pic="http://schemas.openxmlformats.org/drawingml/2006/picture">
          <wp:extent cx="2103120" cy="486271"/>
          <wp:docPr id="1" name="Picture 1" descr="Luwah Technologies LLC logo" title="Luwah Technologies LLC logo"/>
          <wp:cNvGraphicFramePr>
            <a:graphicFrameLocks noChangeAspect="1"/>
          </wp:cNvGraphicFramePr>
          <a:graphic>
            <a:graphicData uri="http://schemas.openxmlformats.org/drawingml/2006/picture">
              <pic:pic>
                <pic:nvPicPr>
                  <pic:cNvPr id="0" name="logo-footer.png"/>
                  <pic:cNvPicPr/>
                </pic:nvPicPr>
                <pic:blipFill>
                  <a:blip r:embed="rId1"/>
                  <a:stretch>
                    <a:fillRect/>
                  </a:stretch>
                </pic:blipFill>
                <pic:spPr>
                  <a:xfrm>
                    <a:off x="0" y="0"/>
                    <a:ext cx="2103120" cy="486271"/>
                  </a:xfrm>
                  <a:prstGeom prst="rect"/>
                </pic:spPr>
              </pic:pic>
            </a:graphicData>
          </a:graphic>
        </wp:inline>
      </w:drawing>
    </w:r>
    <w:r>
      <w:rPr>
        <w:rFonts w:ascii="Tw Cen MT" w:hAnsi="Tw Cen MT" w:cs="Tw Cen MT" w:eastAsia="Tw Cen MT"/>
        <w:sz w:val="18"/>
      </w:rPr>
      <w:tab/>
      <w:tab/>
    </w:r>
    <w:r>
      <w:rPr>
        <w:rFonts w:ascii="Tw Cen MT" w:hAnsi="Tw Cen MT" w:cs="Tw Cen MT" w:eastAsia="Tw Cen MT"/>
        <w:b w:val="0"/>
        <w:color w:val="666666"/>
        <w:sz w:val="18"/>
      </w:rPr>
      <w:t>Template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Open Sans" w:hAnsi="Open Sans" w:cs="Open Sans" w:eastAsia="Open Sans"/>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ind w:left="173"/>
      <w:outlineLvl w:val="0"/>
      <w:shd w:val="clear" w:color="auto" w:fill="B87333"/>
      <w:pBdr>
        <w:top w:val="single" w:sz="12" w:space="3" w:color="B87333"/>
        <w:bottom w:val="single" w:sz="12" w:space="3" w:color="B87333"/>
      </w:pBdr>
    </w:pPr>
    <w:rPr>
      <w:rFonts w:ascii="Tw Cen MT" w:hAnsi="Tw Cen MT" w:cs="Tw Cen MT" w:eastAsia="Tw Cen MT"/>
      <w:b w:val="0"/>
      <w:bCs/>
      <w:color w:val="FFFFFF"/>
      <w:sz w:val="25"/>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w Cen MT" w:hAnsi="Tw Cen MT" w:cs="Tw Cen MT" w:eastAsia="Tw Cen MT"/>
      <w:b/>
      <w:bCs/>
      <w:color w:val="4A90A4"/>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w Cen MT" w:hAnsi="Tw Cen MT" w:cs="Tw Cen MT" w:eastAsia="Tw Cen MT"/>
      <w:b/>
      <w:bCs/>
      <w:color w:val="26262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Made for Hire Agreement - Luwah Technologies LLC Template v1.0</dc:title>
  <dc:subject>Transfer of ownership in work Luwah Technologies creates for a client</dc:subject>
  <dc:creator>Luwah Technologies LLC</dc:creator>
  <cp:keywords>Luwah Technologies, template, agreement</cp:keywords>
  <dc:description>Template v1.0 built 2026-09-18 by scripts/build-agreements.py</dc:description>
  <cp:lastModifiedBy/>
  <cp:revision>1</cp:revision>
  <dcterms:created xsi:type="dcterms:W3CDTF">2013-12-23T23:15:00Z</dcterms:created>
  <dcterms:modified xsi:type="dcterms:W3CDTF">2013-12-23T23:15:00Z</dcterms:modified>
  <cp:category/>
  <dc:language>en-US</dc:language>
</cp:coreProperties>
</file>